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lang w:val="en-US" w:eastAsia="zh-CN"/>
          <w14:textFill>
            <w14:solidFill>
              <w14:schemeClr w14:val="tx1"/>
            </w14:solidFill>
          </w14:textFill>
        </w:rPr>
        <w:t>陕西省市场监督管理局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行政处罚决定书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陕市监反垄断</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字〔2022〕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号</w:t>
      </w: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sz w:val="32"/>
          <w:szCs w:val="32"/>
          <w:highlight w:val="none"/>
          <w:lang w:val="en-US" w:eastAsia="zh-CN"/>
          <w14:textFill>
            <w14:solidFill>
              <w14:schemeClr w14:val="tx1"/>
            </w14:solidFill>
          </w14:textFill>
        </w:rPr>
        <w:t>当事人基本情况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名称：陕西生态水泥股份有限公司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统一社会信用代码：91610000570667851D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类型：股份有限公司（非上市）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住所：</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西安经济技术开发区凤城四路96号海璟·新天地8幢12510室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法定代表人：张超晖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经营范围：</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生态水泥和矿渣超细粉的研发、管理、销售；节能降耗新型建筑材料的研发、管理、销售、技术咨询与服务；商业贸易（国家限制和禁止的商品及技术除外）、物流服务；商品混凝土的生产、加工（仅限分支机构）；建筑材料、砂石、骨料、白灰、机制沙及碳酸钙产品的加工（仅限分支机构）、销售；砂浆的研发、生产（仅限分支机构）、销售；房地产开发；房屋租赁；物业管理；广告的设计、制作、代理、发布。（上述经营范围中涉及许可项目的，凭许可证明文件、证件在有效期内经营，未经许可不得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黑体" w:cs="Times New Roman"/>
          <w:color w:val="000000" w:themeColor="text1"/>
          <w:spacing w:val="0"/>
          <w:sz w:val="32"/>
          <w:szCs w:val="32"/>
          <w:highlight w:val="none"/>
          <w:shd w:val="clear" w:color="auto" w:fill="FFFFFF"/>
          <w:lang w:val="en-US" w:eastAsia="zh-CN"/>
          <w14:textFill>
            <w14:solidFill>
              <w14:schemeClr w14:val="tx1"/>
            </w14:solidFill>
          </w14:textFill>
        </w:rPr>
        <w:t>二、案件来源及调查</w:t>
      </w:r>
      <w:r>
        <w:rPr>
          <w:rFonts w:hint="eastAsia" w:ascii="Times New Roman" w:hAnsi="Times New Roman" w:eastAsia="黑体" w:cs="Times New Roman"/>
          <w:color w:val="000000" w:themeColor="text1"/>
          <w:spacing w:val="0"/>
          <w:sz w:val="32"/>
          <w:szCs w:val="32"/>
          <w:highlight w:val="none"/>
          <w:shd w:val="clear" w:color="auto" w:fill="FFFFFF"/>
          <w:lang w:val="en-US" w:eastAsia="zh-CN"/>
          <w14:textFill>
            <w14:solidFill>
              <w14:schemeClr w14:val="tx1"/>
            </w14:solidFill>
          </w14:textFill>
        </w:rPr>
        <w:t>经过</w:t>
      </w:r>
    </w:p>
    <w:p>
      <w:pPr>
        <w:keepNext w:val="0"/>
        <w:keepLines w:val="0"/>
        <w:pageBreakBefore w:val="0"/>
        <w:widowControl w:val="0"/>
        <w:kinsoku/>
        <w:wordWrap/>
        <w:overflowPunct/>
        <w:topLinePunct w:val="0"/>
        <w:autoSpaceDE/>
        <w:autoSpaceDN/>
        <w:bidi w:val="0"/>
        <w:adjustRightInd/>
        <w:snapToGrid/>
        <w:spacing w:line="560" w:lineRule="exact"/>
        <w:ind w:firstLine="704"/>
        <w:jc w:val="both"/>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2019年5月，本局从多个途径收到反映陕西省水泥协会组织本行业企业联合涨价的举报。经初步核查后，2019年7月起，本局依据《中华人民共和国反垄断法》（以下简称</w:t>
      </w:r>
      <w:r>
        <w:rPr>
          <w:rFonts w:hint="default" w:ascii="Times New Roman" w:hAnsi="Times New Roman" w:eastAsia="仿宋_GB2312" w:cs="Times New Roman"/>
          <w:color w:val="000000" w:themeColor="text1"/>
          <w:spacing w:val="8"/>
          <w:sz w:val="32"/>
          <w:szCs w:val="32"/>
          <w:highlight w:val="none"/>
          <w:shd w:val="clear" w:color="auto" w:fill="FFFFFF"/>
          <w14:textFill>
            <w14:solidFill>
              <w14:schemeClr w14:val="tx1"/>
            </w14:solidFill>
          </w14:textFill>
        </w:rPr>
        <w:t>《反垄断法》</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），对</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经营尧柏、盾石、声威、华山、海螺等5个水泥商标（按照行业惯例，以下简称5个水泥品牌，</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依序</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分别为尧柏、冀东、声威、生态、海螺水泥）的13家企业及陕西省水泥协会正式立案调查</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。涉案企业</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包括：尧柏特种水泥集团有限公司、陕西金隅冀东水泥经贸有限公司、冀东海德堡（泾阳）水泥有限公司、冀东海德堡（扶风）水泥有限公司、陕西声威建材集团有限公司、铜川声威建材有限责任公司、陕西生态水泥股份有限公司、礼泉海螺水泥有限责任公司、乾县海螺水泥有限责任公司、陕西铜川凤凰建材有限公司、宝鸡市众喜金陵河水泥有限公司、宝鸡众喜凤凰山水泥有限公司和千阳海螺水泥有限责任公司。</w:t>
      </w: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期间，本局进行了现场检查、询问调查，提取了相关证据材料，对本案涉及的事实和定性召开专家会进行研究论证。案件调查过程中，本局多次听取当事人意见。2021年10月13日，本局依法向当事人送达了《行政处罚告知书》，</w:t>
      </w:r>
      <w:r>
        <w:rPr>
          <w:rFonts w:hint="default" w:ascii="Times New Roman" w:hAnsi="Times New Roman" w:eastAsia="仿宋_GB2312" w:cs="Times New Roman"/>
          <w:color w:val="000000"/>
          <w:sz w:val="32"/>
          <w:szCs w:val="32"/>
        </w:rPr>
        <w:t>告知</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违反《反垄断法》的事实、拟作出的行政处罚决定、理由和依据，以及</w:t>
      </w:r>
      <w:r>
        <w:rPr>
          <w:rFonts w:hint="default" w:ascii="Times New Roman" w:hAnsi="Times New Roman" w:eastAsia="仿宋_GB2312" w:cs="Times New Roman"/>
          <w:color w:val="000000"/>
          <w:sz w:val="32"/>
          <w:szCs w:val="32"/>
          <w:lang w:val="en-US" w:eastAsia="zh-CN"/>
        </w:rPr>
        <w:t>当事人</w:t>
      </w:r>
      <w:r>
        <w:rPr>
          <w:rFonts w:hint="default" w:ascii="Times New Roman" w:hAnsi="Times New Roman" w:eastAsia="仿宋_GB2312" w:cs="Times New Roman"/>
          <w:color w:val="000000"/>
          <w:sz w:val="32"/>
          <w:szCs w:val="32"/>
        </w:rPr>
        <w:t>依法享</w:t>
      </w:r>
      <w:r>
        <w:rPr>
          <w:rFonts w:hint="default" w:ascii="Times New Roman" w:hAnsi="Times New Roman" w:eastAsia="仿宋_GB2312" w:cs="Times New Roman"/>
          <w:sz w:val="32"/>
          <w:szCs w:val="32"/>
        </w:rPr>
        <w:t>有陈述、申辩和要求举行听证的权利</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。11月24日、25日，本局依当事人申请举行听证会，</w:t>
      </w:r>
      <w:r>
        <w:rPr>
          <w:rFonts w:hint="default" w:ascii="Times New Roman" w:hAnsi="Times New Roman" w:eastAsia="仿宋_GB2312" w:cs="Times New Roman"/>
          <w:color w:val="000000"/>
          <w:sz w:val="32"/>
          <w:szCs w:val="32"/>
          <w:lang w:val="en-US" w:eastAsia="zh-CN"/>
        </w:rPr>
        <w:t>履行了</w:t>
      </w:r>
      <w:r>
        <w:rPr>
          <w:rFonts w:hint="default" w:ascii="Times New Roman" w:hAnsi="Times New Roman" w:eastAsia="仿宋_GB2312" w:cs="Times New Roman"/>
          <w:color w:val="000000"/>
          <w:sz w:val="32"/>
          <w:szCs w:val="32"/>
        </w:rPr>
        <w:t>申辩</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质证</w:t>
      </w:r>
      <w:r>
        <w:rPr>
          <w:rFonts w:hint="default" w:ascii="Times New Roman" w:hAnsi="Times New Roman" w:eastAsia="仿宋_GB2312" w:cs="Times New Roman"/>
          <w:color w:val="000000"/>
          <w:sz w:val="32"/>
          <w:szCs w:val="32"/>
          <w:lang w:val="en-US" w:eastAsia="zh-CN"/>
        </w:rPr>
        <w:t>等听证程序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针对当事人提出的</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陈述与申辩意见</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，本局经过国务院反垄断委员会专家咨询组成员等专家论证研究，综合考虑案件具体情况做出最终处理决定。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color w:val="auto"/>
          <w:sz w:val="32"/>
          <w:szCs w:val="32"/>
          <w:highlight w:val="none"/>
          <w:u w:val="none"/>
          <w:lang w:val="en-US" w:eastAsia="zh-CN"/>
        </w:rPr>
      </w:pPr>
      <w:r>
        <w:rPr>
          <w:rFonts w:hint="default" w:ascii="Times New Roman" w:hAnsi="Times New Roman" w:eastAsia="黑体" w:cs="Times New Roman"/>
          <w:b w:val="0"/>
          <w:bCs/>
          <w:color w:val="auto"/>
          <w:sz w:val="32"/>
          <w:szCs w:val="32"/>
          <w:highlight w:val="none"/>
          <w:u w:val="none"/>
          <w:lang w:val="en-US" w:eastAsia="zh-CN"/>
        </w:rPr>
        <w:t>三、违法</w:t>
      </w:r>
      <w:r>
        <w:rPr>
          <w:rFonts w:hint="default" w:ascii="Times New Roman" w:hAnsi="Times New Roman" w:eastAsia="黑体" w:cs="Times New Roman"/>
          <w:b w:val="0"/>
          <w:bCs/>
          <w:color w:val="auto"/>
          <w:sz w:val="32"/>
          <w:szCs w:val="32"/>
          <w:highlight w:val="none"/>
          <w:u w:val="none"/>
        </w:rPr>
        <w:t>事实</w:t>
      </w:r>
      <w:r>
        <w:rPr>
          <w:rFonts w:hint="default" w:ascii="Times New Roman" w:hAnsi="Times New Roman" w:eastAsia="黑体" w:cs="Times New Roman"/>
          <w:b w:val="0"/>
          <w:bCs/>
          <w:color w:val="auto"/>
          <w:sz w:val="32"/>
          <w:szCs w:val="32"/>
          <w:highlight w:val="none"/>
          <w:u w:val="none"/>
          <w:lang w:val="en-US" w:eastAsia="zh-CN"/>
        </w:rPr>
        <w:t>及相关证据</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（一）</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相关市场界定</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1.相关商品市场为水泥。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水泥是一种粉状水硬性无机胶凝材料，加水搅拌后成浆体，</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能在空气中将材料牢固地胶结在一起。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水泥作为一种重要的建筑材料，长期以来广泛应用于土木建筑、水利、国防等工程，目前其他建筑材料与其不具有紧密替代关系，水泥构成独立的商品市场。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3" w:firstLineChars="200"/>
        <w:textAlignment w:val="auto"/>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2.相关地域市场为陕西省关中区域。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本案中，13家涉案企业都是销售水泥的经营者，销售区域主要分布在陕西省关中区域的西安、宝鸡、咸阳、铜川、渭南等5市。水泥受运输成本等因素的限制</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，一般运输距离为150公里左右，如果超出运输范围产品将不具有经济性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，受地理区域限制，其他地域与其不具有紧密替代关系，以上陕西省关中区域构成独立的相关市场。</w:t>
      </w:r>
    </w:p>
    <w:p>
      <w:pPr>
        <w:keepNext w:val="0"/>
        <w:keepLines w:val="0"/>
        <w:pageBreakBefore w:val="0"/>
        <w:widowControl w:val="0"/>
        <w:kinsoku/>
        <w:wordWrap/>
        <w:overflowPunct w:val="0"/>
        <w:topLinePunct w:val="0"/>
        <w:autoSpaceDE/>
        <w:autoSpaceDN/>
        <w:bidi w:val="0"/>
        <w:adjustRightInd w:val="0"/>
        <w:snapToGrid w:val="0"/>
        <w:spacing w:line="560" w:lineRule="exact"/>
        <w:ind w:right="0" w:firstLine="640" w:firstLineChars="200"/>
        <w:textAlignment w:val="auto"/>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（二）当事人和其他12家涉案企业是具有竞争关系的经营者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spacing w:val="0"/>
          <w:sz w:val="32"/>
          <w:szCs w:val="32"/>
          <w:highlight w:val="none"/>
          <w:shd w:val="clear" w:color="auto" w:fill="FFFFFF"/>
          <w:lang w:val="en-US" w:eastAsia="zh-CN"/>
        </w:rPr>
        <w:t>经查明，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当事人和其他12家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涉案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主营业务均包括水泥的销售，在陕西省关中区域是具有竞争关系的经营者。</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陕西富平生态水泥有限责任公司是华山牌水泥实际生产厂家，为当事人控股子公司，在定价和销售方面按照当事人决策执行，同时，当事人</w:t>
      </w:r>
      <w:r>
        <w:rPr>
          <w:rFonts w:hint="eastAsia"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有关负责人直接</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参与垄断协议</w:t>
      </w:r>
      <w:r>
        <w:rPr>
          <w:rFonts w:hint="eastAsia"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的达成</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，陕西富平生态水泥有限责任公司</w:t>
      </w:r>
      <w:r>
        <w:rPr>
          <w:rFonts w:hint="eastAsia"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则</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按照当事人决策实施销售水泥并开票计收。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根据垄断行为的决策和实施主体，当事人为本案应当承担法律责任的经营者。</w:t>
      </w:r>
    </w:p>
    <w:p>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（三）当事人在陕西省水泥协会组织下或自发与具有竞争关系的经营者达成</w:t>
      </w:r>
      <w:r>
        <w:rPr>
          <w:rFonts w:hint="eastAsia"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固定或者变更商品价格</w:t>
      </w:r>
      <w:r>
        <w:rPr>
          <w:rFonts w:hint="eastAsia"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经查明，2017年7月至2019年3月，包括当事人在内的5家水泥品牌</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有关负责人在</w:t>
      </w:r>
      <w:r>
        <w:rPr>
          <w:rFonts w:hint="eastAsia"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陕西</w:t>
      </w:r>
      <w:r>
        <w:rPr>
          <w:rFonts w:hint="default" w:ascii="Times New Roman" w:hAnsi="Times New Roman" w:eastAsia="仿宋_GB2312" w:cs="Times New Roman"/>
          <w:color w:val="000000" w:themeColor="text1"/>
          <w:spacing w:val="8"/>
          <w:sz w:val="32"/>
          <w:szCs w:val="32"/>
          <w:highlight w:val="none"/>
          <w:shd w:val="clear" w:color="auto" w:fill="FFFFFF"/>
          <w:lang w:val="en-US" w:eastAsia="zh-CN"/>
          <w14:textFill>
            <w14:solidFill>
              <w14:schemeClr w14:val="tx1"/>
            </w14:solidFill>
          </w14:textFill>
        </w:rPr>
        <w:t>省水泥协会组织或自发组织的行业会议、聚会、微信聊天等活动中，至少4次商议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水泥产品的销售价格，并就统一上调水泥</w:t>
      </w:r>
      <w:r>
        <w:rPr>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销售</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价格的时间和幅度达成一致。其中：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2018年10月11日，声威水泥有关负责人召集，尧柏水泥有关负责人、冀东水泥有关负责人、声威水泥有关负责人</w:t>
      </w:r>
      <w:r>
        <w:rPr>
          <w:rFonts w:hint="default" w:ascii="Times New Roman" w:hAnsi="Times New Roman" w:eastAsia="仿宋_GB2312" w:cs="Times New Roman"/>
          <w:bCs/>
          <w:color w:val="000000" w:themeColor="text1"/>
          <w:spacing w:val="0"/>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海螺水泥有关负责人、生态水泥有关负责人在西安市凤城八路附近茶秀商谈价格调整事宜，最终参加人员一致达成共识：从10月13日起各品种水泥上调50元/吨。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2018年10月29日，海螺水泥有关负责人召集，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十一路附近茶秀商谈价格上调事宜，并达成以下共识：从10月30日起各</w:t>
      </w:r>
      <w:r>
        <w:rPr>
          <w:rFonts w:hint="default" w:ascii="Times New Roman" w:hAnsi="Times New Roman" w:eastAsia="仿宋_GB2312" w:cs="Times New Roman"/>
          <w:b w:val="0"/>
          <w:bCs/>
          <w:color w:val="000000" w:themeColor="text1"/>
          <w:spacing w:val="0"/>
          <w:sz w:val="32"/>
          <w:szCs w:val="32"/>
          <w:highlight w:val="none"/>
          <w:shd w:val="clear"/>
          <w:lang w:val="en-US" w:eastAsia="zh-CN"/>
          <w14:textFill>
            <w14:solidFill>
              <w14:schemeClr w14:val="tx1"/>
            </w14:solidFill>
          </w14:textFill>
        </w:rPr>
        <w:t>品</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种水泥上调30元/吨。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7日，声威水泥有关负责人召集，尧柏水泥有关负责人、冀东水泥有关负责人、声威水泥有关负责人、海螺水泥有关负责人、生态水泥有关负责人在西安市凤城九路附近茶秀商谈价格上调事宜，并达成以下共识：从3月9日起各品种水泥取消冬季优惠政策，恢复原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2019年3月22日，生态水泥有关负责人召集，</w:t>
      </w:r>
      <w:r>
        <w:rPr>
          <w:rFonts w:hint="eastAsia"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pacing w:val="0"/>
          <w:sz w:val="32"/>
          <w:szCs w:val="32"/>
          <w:highlight w:val="none"/>
          <w:shd w:val="clear" w:color="auto" w:fill="auto"/>
          <w:lang w:val="en-US" w:eastAsia="zh-CN"/>
          <w14:textFill>
            <w14:solidFill>
              <w14:schemeClr w14:val="tx1"/>
            </w14:solidFill>
          </w14:textFill>
        </w:rPr>
        <w:t>省水泥协会有关负责人、尧柏水泥有关负责人、冀东水泥有关负责人、声威水泥有关负责人、海螺水泥有关负责人、生态水泥有关负责人在西安市凤城八路附近茶秀商谈价格上调事宜，并达成以下共识：从3月23日起各品种水泥上调20元/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（四）当事人通过与其他涉案企业共同上调水泥产品价格实施了垄断协议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经查明，包括当事人在内的5个品牌有关负责人通过多种方式商议水泥销售价格后，各涉案企业至少4次分别在统一</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时间以书面或口头方式向下游水泥客户发布涨价通知，开始实施统一时间，相同或相近幅度的涨价行为。</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涉案企业部分统一涨价行为（</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val="en-US" w:eastAsia="zh-CN"/>
          <w14:textFill>
            <w14:solidFill>
              <w14:schemeClr w14:val="tx1"/>
            </w14:solidFill>
          </w14:textFill>
        </w:rPr>
        <w:t>单位：元/吨</w:t>
      </w:r>
      <w:r>
        <w:rPr>
          <w:rFonts w:hint="default" w:ascii="Times New Roman" w:hAnsi="Times New Roman" w:eastAsia="楷体_GB2312" w:cs="Times New Roman"/>
          <w:b w:val="0"/>
          <w:bCs w:val="0"/>
          <w:color w:val="000000" w:themeColor="text1"/>
          <w:spacing w:val="8"/>
          <w:sz w:val="28"/>
          <w:szCs w:val="28"/>
          <w:highlight w:val="none"/>
          <w:shd w:val="clear" w:color="auto" w:fill="FFFFFF"/>
          <w:lang w:eastAsia="zh-CN"/>
          <w14:textFill>
            <w14:solidFill>
              <w14:schemeClr w14:val="tx1"/>
            </w14:solidFill>
          </w14:textFill>
        </w:rPr>
        <w:t>）</w:t>
      </w:r>
    </w:p>
    <w:tbl>
      <w:tblPr>
        <w:tblStyle w:val="6"/>
        <w:tblW w:w="8562" w:type="dxa"/>
        <w:jc w:val="center"/>
        <w:tblLayout w:type="fixed"/>
        <w:tblCellMar>
          <w:top w:w="0" w:type="dxa"/>
          <w:left w:w="0" w:type="dxa"/>
          <w:bottom w:w="0" w:type="dxa"/>
          <w:right w:w="0" w:type="dxa"/>
        </w:tblCellMar>
      </w:tblPr>
      <w:tblGrid>
        <w:gridCol w:w="881"/>
        <w:gridCol w:w="3420"/>
        <w:gridCol w:w="1130"/>
        <w:gridCol w:w="1144"/>
        <w:gridCol w:w="937"/>
        <w:gridCol w:w="1050"/>
      </w:tblGrid>
      <w:tr>
        <w:tblPrEx>
          <w:tblCellMar>
            <w:top w:w="0" w:type="dxa"/>
            <w:left w:w="0" w:type="dxa"/>
            <w:bottom w:w="0" w:type="dxa"/>
            <w:right w:w="0" w:type="dxa"/>
          </w:tblCellMar>
        </w:tblPrEx>
        <w:trPr>
          <w:trHeight w:val="874"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品牌</w:t>
            </w:r>
          </w:p>
        </w:tc>
        <w:tc>
          <w:tcPr>
            <w:tcW w:w="34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t>企业名称</w:t>
            </w:r>
          </w:p>
        </w:tc>
        <w:tc>
          <w:tcPr>
            <w:tcW w:w="426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时间/涨价幅度</w:t>
            </w:r>
          </w:p>
        </w:tc>
      </w:tr>
      <w:tr>
        <w:tblPrEx>
          <w:tblCellMar>
            <w:top w:w="0" w:type="dxa"/>
            <w:left w:w="0" w:type="dxa"/>
            <w:bottom w:w="0" w:type="dxa"/>
            <w:right w:w="0" w:type="dxa"/>
          </w:tblCellMar>
        </w:tblPrEx>
        <w:trPr>
          <w:trHeight w:val="874"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kern w:val="0"/>
                <w:sz w:val="24"/>
                <w:szCs w:val="24"/>
                <w:highlight w:val="none"/>
                <w:u w:val="none"/>
                <w:lang w:val="en-US" w:eastAsia="zh-CN" w:bidi="ar"/>
                <w14:textFill>
                  <w14:solidFill>
                    <w14:schemeClr w14:val="tx1"/>
                  </w14:solidFill>
                </w14:textFill>
              </w:rPr>
            </w:pPr>
          </w:p>
        </w:tc>
        <w:tc>
          <w:tcPr>
            <w:tcW w:w="34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i w:val="0"/>
                <w:color w:val="000000" w:themeColor="text1"/>
                <w:sz w:val="24"/>
                <w:szCs w:val="24"/>
                <w:highlight w:val="none"/>
                <w:u w:val="none"/>
                <w14:textFill>
                  <w14:solidFill>
                    <w14:schemeClr w14:val="tx1"/>
                  </w14:solidFill>
                </w14:textFill>
              </w:rPr>
            </w:pP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10月13日</w:t>
            </w:r>
          </w:p>
        </w:tc>
        <w:tc>
          <w:tcPr>
            <w:tcW w:w="114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2018年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10月30日</w:t>
            </w:r>
          </w:p>
        </w:tc>
        <w:tc>
          <w:tcPr>
            <w:tcW w:w="9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3月9日</w:t>
            </w:r>
          </w:p>
        </w:tc>
        <w:tc>
          <w:tcPr>
            <w:tcW w:w="10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2019年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default" w:ascii="Times New Roman" w:hAnsi="Times New Roman" w:eastAsia="仿宋_GB2312" w:cs="Times New Roman"/>
                <w:b/>
                <w:bCs w:val="0"/>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val="0"/>
                <w:i w:val="0"/>
                <w:color w:val="000000" w:themeColor="text1"/>
                <w:kern w:val="0"/>
                <w:sz w:val="24"/>
                <w:szCs w:val="24"/>
                <w:highlight w:val="none"/>
                <w:u w:val="none"/>
                <w:lang w:val="en-US" w:eastAsia="zh-CN" w:bidi="ar"/>
                <w14:textFill>
                  <w14:solidFill>
                    <w14:schemeClr w14:val="tx1"/>
                  </w14:solidFill>
                </w14:textFill>
              </w:rPr>
              <w:t>3月23日</w:t>
            </w:r>
          </w:p>
        </w:tc>
      </w:tr>
      <w:tr>
        <w:tblPrEx>
          <w:tblCellMar>
            <w:top w:w="0" w:type="dxa"/>
            <w:left w:w="0" w:type="dxa"/>
            <w:bottom w:w="0" w:type="dxa"/>
            <w:right w:w="0" w:type="dxa"/>
          </w:tblCellMar>
        </w:tblPrEx>
        <w:trPr>
          <w:trHeight w:val="555"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尧柏特种水泥集团有限公司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冀东</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陕西金隅冀东水泥经贸有限公司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冀东海德堡（泾阳）水泥有限公司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冀东海德堡（扶风）水泥有限公司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声威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陕西声威建材集团有限公司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铜川声威建材有限责任公司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552" w:hRule="exact"/>
          <w:jc w:val="center"/>
        </w:trPr>
        <w:tc>
          <w:tcPr>
            <w:tcW w:w="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color w:val="000000" w:themeColor="text1"/>
                <w:kern w:val="0"/>
                <w:sz w:val="24"/>
                <w:szCs w:val="24"/>
                <w:highlight w:val="none"/>
                <w:u w:val="none"/>
                <w:lang w:val="en-US" w:eastAsia="zh-CN" w:bidi="ar"/>
                <w14:textFill>
                  <w14:solidFill>
                    <w14:schemeClr w14:val="tx1"/>
                  </w14:solidFill>
                </w14:textFill>
              </w:rPr>
              <w:t>生态</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陕西生态水泥股份有限公司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50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3.26</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505" w:hRule="exact"/>
          <w:jc w:val="center"/>
        </w:trPr>
        <w:tc>
          <w:tcPr>
            <w:tcW w:w="88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海螺</w:t>
            </w: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礼泉海螺水泥有限责任公司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乾县海螺水泥有限责任公司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3.24</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45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陕西铜川凤凰建材有限公司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15</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r>
      <w:tr>
        <w:tblPrEx>
          <w:tblCellMar>
            <w:top w:w="0" w:type="dxa"/>
            <w:left w:w="0" w:type="dxa"/>
            <w:bottom w:w="0" w:type="dxa"/>
            <w:right w:w="0" w:type="dxa"/>
          </w:tblCellMar>
        </w:tblPrEx>
        <w:trPr>
          <w:trHeight w:val="440"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宝鸡市众喜金陵河水泥有限公司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5" w:hRule="exact"/>
          <w:jc w:val="center"/>
        </w:trPr>
        <w:tc>
          <w:tcPr>
            <w:tcW w:w="881"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宝鸡众喜凤凰山水泥有限公司</w:t>
            </w:r>
          </w:p>
        </w:tc>
        <w:tc>
          <w:tcPr>
            <w:tcW w:w="113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r>
      <w:tr>
        <w:tblPrEx>
          <w:tblCellMar>
            <w:top w:w="0" w:type="dxa"/>
            <w:left w:w="0" w:type="dxa"/>
            <w:bottom w:w="0" w:type="dxa"/>
            <w:right w:w="0" w:type="dxa"/>
          </w:tblCellMar>
        </w:tblPrEx>
        <w:trPr>
          <w:trHeight w:val="472" w:hRule="exact"/>
          <w:jc w:val="center"/>
        </w:trPr>
        <w:tc>
          <w:tcPr>
            <w:tcW w:w="88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b w:val="0"/>
                <w:bCs/>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i w:val="0"/>
                <w:color w:val="000000" w:themeColor="text1"/>
                <w:kern w:val="0"/>
                <w:sz w:val="24"/>
                <w:szCs w:val="24"/>
                <w:highlight w:val="none"/>
                <w:u w:val="none"/>
                <w:lang w:val="en-US" w:eastAsia="zh-CN" w:bidi="ar"/>
                <w14:textFill>
                  <w14:solidFill>
                    <w14:schemeClr w14:val="tx1"/>
                  </w14:solidFill>
                </w14:textFill>
              </w:rPr>
              <w:t>千阳海螺水泥有限责任公司</w:t>
            </w:r>
          </w:p>
        </w:tc>
        <w:tc>
          <w:tcPr>
            <w:tcW w:w="1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20</w:t>
            </w:r>
          </w:p>
        </w:tc>
        <w:tc>
          <w:tcPr>
            <w:tcW w:w="11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30</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11.1</w:t>
            </w:r>
            <w:r>
              <w:rPr>
                <w:rFonts w:hint="eastAsia" w:ascii="Times New Roman" w:hAnsi="Times New Roman" w:eastAsia="仿宋_GB2312" w:cs="Times New Roman"/>
                <w:i w:val="0"/>
                <w:color w:val="000000" w:themeColor="text1"/>
                <w:kern w:val="0"/>
                <w:sz w:val="24"/>
                <w:szCs w:val="24"/>
                <w:highlight w:val="none"/>
                <w:u w:val="none"/>
                <w:lang w:val="en-US" w:eastAsia="zh-CN" w:bidi="ar"/>
                <w14:textFill>
                  <w14:solidFill>
                    <w14:schemeClr w14:val="tx1"/>
                  </w14:solidFill>
                </w14:textFill>
              </w:rPr>
              <w:t>)</w:t>
            </w:r>
          </w:p>
        </w:tc>
        <w:tc>
          <w:tcPr>
            <w:tcW w:w="937" w:type="dxa"/>
            <w:tcBorders>
              <w:top w:val="single" w:color="000000" w:sz="4" w:space="0"/>
              <w:left w:val="single" w:color="000000" w:sz="4" w:space="0"/>
              <w:bottom w:val="single" w:color="000000" w:sz="4" w:space="0"/>
              <w:right w:val="single" w:color="000000" w:sz="4" w:space="0"/>
              <w:tl2br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jc w:val="center"/>
              <w:rPr>
                <w:rFonts w:hint="default" w:ascii="Times New Roman" w:hAnsi="Times New Roman" w:eastAsia="仿宋_GB2312" w:cs="Times New Roman"/>
                <w:i w:val="0"/>
                <w:color w:val="000000" w:themeColor="text1"/>
                <w:sz w:val="24"/>
                <w:szCs w:val="24"/>
                <w:highlight w:val="none"/>
                <w:u w:val="none"/>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ind w:left="0"/>
              <w:jc w:val="center"/>
              <w:rPr>
                <w:rFonts w:hint="default" w:ascii="Times New Roman" w:hAnsi="Times New Roman" w:eastAsia="仿宋_GB2312" w:cs="Times New Roman"/>
                <w:i w:val="0"/>
                <w:color w:val="000000" w:themeColor="text1"/>
                <w:sz w:val="24"/>
                <w:szCs w:val="24"/>
                <w:highlight w:val="none"/>
                <w:u w:val="none"/>
                <w:lang w:val="en-US"/>
                <w14:textFill>
                  <w14:solidFill>
                    <w14:schemeClr w14:val="tx1"/>
                  </w14:solidFill>
                </w14:textFill>
              </w:rPr>
            </w:pP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20</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3.28</w:t>
            </w:r>
            <w:r>
              <w:rPr>
                <w:rFonts w:hint="eastAsia" w:ascii="Times New Roman" w:hAnsi="Times New Roman" w:eastAsia="仿宋_GB2312" w:cs="Times New Roman"/>
                <w:i w:val="0"/>
                <w:color w:val="000000" w:themeColor="text1"/>
                <w:sz w:val="24"/>
                <w:szCs w:val="24"/>
                <w:highlight w:val="none"/>
                <w:u w:val="none"/>
                <w:lang w:val="en-US" w:eastAsia="zh-CN"/>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四、当事人陈述情况</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当事人向本局提交的《关于对垄断行为申请减免的报告》（陕水泥司函〔2021〕17号）中，对各涉案企业多次商谈水泥产品销售价格并达成一致涨价协议的相关情况，以及统一实施上调水泥产品销售价格等行为的有关情况进行了较为全面的说明，作出了明确认识，并提出了整改措施。</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本局经研究认为，当事人说明的情况和提供的证据属实。当事人与各涉案企业，在陕西省水泥协会的组织下或自发组织，多次达成并实施垄断协议，共同推动水泥产品销售价格上调。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此外，当事人在听证会上主要提出</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了四个方面的</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陈述意见</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一是对于涉案主体认定有异议，应认定</w:t>
      </w:r>
      <w:r>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t>陕西富平生态水泥有限责任公司为涉案主体</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。二是认定达成垄断协议的证据不充分。三是认定实施垄断协议的证据不够充分，</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行政处罚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告知书中仅列明了各当事人的挂牌价，而挂牌价与实际成交价并不相同，不能以挂牌价认定当事人实施了垄断协议。四是听证会质证形式存在问题，未充分向当事人展示证据原件。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本局经研究认为，当事人上述意见不能成立。一是按照《反垄断法》和《中华人民共和国行政处罚法》（以下简称为《行政处罚法》）的规定，违法行为主体承担相应的法律责任</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本案结合</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相关</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证据，从法律关系、经营管理、涉案行为等维度进行考量，根据垄断行为的决策和实施主体确定当事人和其他涉案单位为本案的违法主体。二是关于达成垄断协议的认定，本案有询问笔录、微信聊天截图、会议纪要、工作报告等证据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三是关于实施垄断协议的认定，本案</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认定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实施垄断协议有当事人</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及其他涉案企业的</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调价统计表、调价审批单、调价函、调价协议、水泥销售结算单、销售发票等证据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充分证明</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符合《反垄断法》关于认定实施</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垄断协议</w:t>
      </w:r>
      <w:r>
        <w:rPr>
          <w:rFonts w:hint="eastAsia" w:ascii="Times New Roman" w:hAnsi="Times New Roman" w:eastAsia="仿宋_GB2312" w:cs="Times New Roman"/>
          <w:bCs/>
          <w:color w:val="000000"/>
          <w:spacing w:val="0"/>
          <w:sz w:val="32"/>
          <w:szCs w:val="32"/>
          <w:highlight w:val="none"/>
          <w:u w:val="none"/>
          <w:shd w:val="clear" w:color="auto" w:fill="auto"/>
          <w:lang w:val="en-US" w:eastAsia="zh-CN"/>
        </w:rPr>
        <w:t>的规定</w:t>
      </w:r>
      <w:r>
        <w:rPr>
          <w:rFonts w:hint="default" w:ascii="Times New Roman" w:hAnsi="Times New Roman" w:eastAsia="仿宋_GB2312" w:cs="Times New Roman"/>
          <w:bCs/>
          <w:color w:val="000000"/>
          <w:spacing w:val="0"/>
          <w:sz w:val="32"/>
          <w:szCs w:val="32"/>
          <w:highlight w:val="none"/>
          <w:u w:val="none"/>
          <w:shd w:val="clear" w:color="auto" w:fill="auto"/>
          <w:lang w:val="en-US" w:eastAsia="zh-CN"/>
        </w:rPr>
        <w:t>。</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四是关于听证会</w:t>
      </w:r>
      <w:r>
        <w:rPr>
          <w:rFonts w:hint="eastAsia"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质证</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形式，</w:t>
      </w:r>
      <w:r>
        <w:rPr>
          <w:rFonts w:hint="eastAsia" w:ascii="Times New Roman" w:hAnsi="Times New Roman" w:eastAsia="仿宋_GB2312" w:cs="Times New Roman"/>
          <w:bCs/>
          <w:color w:val="000000" w:themeColor="text1"/>
          <w:sz w:val="32"/>
          <w:szCs w:val="32"/>
          <w14:textFill>
            <w14:solidFill>
              <w14:schemeClr w14:val="tx1"/>
            </w14:solidFill>
          </w14:textFill>
        </w:rPr>
        <w:t>本局依据《行政处罚法》第六十四条等相关规定举行了听证会，</w:t>
      </w:r>
      <w:r>
        <w:rPr>
          <w:rFonts w:ascii="Times New Roman" w:hAnsi="Times New Roman" w:eastAsia="仿宋_GB2312" w:cs="Times New Roman"/>
          <w:bCs/>
          <w:color w:val="000000" w:themeColor="text1"/>
          <w:sz w:val="32"/>
          <w:szCs w:val="32"/>
          <w14:textFill>
            <w14:solidFill>
              <w14:schemeClr w14:val="tx1"/>
            </w14:solidFill>
          </w14:textFill>
        </w:rPr>
        <w:t>在听证会阶段向当事人展示</w:t>
      </w:r>
      <w:r>
        <w:rPr>
          <w:rFonts w:hint="eastAsia" w:ascii="Times New Roman" w:hAnsi="Times New Roman" w:eastAsia="仿宋_GB2312" w:cs="Times New Roman"/>
          <w:bCs/>
          <w:color w:val="000000" w:themeColor="text1"/>
          <w:sz w:val="32"/>
          <w:szCs w:val="32"/>
          <w14:textFill>
            <w14:solidFill>
              <w14:schemeClr w14:val="tx1"/>
            </w14:solidFill>
          </w14:textFill>
        </w:rPr>
        <w:t>了作为定案依据</w:t>
      </w:r>
      <w:r>
        <w:rPr>
          <w:rFonts w:ascii="Times New Roman" w:hAnsi="Times New Roman" w:eastAsia="仿宋_GB2312" w:cs="Times New Roman"/>
          <w:bCs/>
          <w:color w:val="000000" w:themeColor="text1"/>
          <w:sz w:val="32"/>
          <w:szCs w:val="32"/>
          <w14:textFill>
            <w14:solidFill>
              <w14:schemeClr w14:val="tx1"/>
            </w14:solidFill>
          </w14:textFill>
        </w:rPr>
        <w:t>的证据</w:t>
      </w:r>
      <w:r>
        <w:rPr>
          <w:rFonts w:hint="eastAsia" w:ascii="Times New Roman" w:hAnsi="Times New Roman" w:eastAsia="仿宋_GB2312" w:cs="Times New Roman"/>
          <w:bCs/>
          <w:color w:val="000000" w:themeColor="text1"/>
          <w:sz w:val="32"/>
          <w:szCs w:val="32"/>
          <w14:textFill>
            <w14:solidFill>
              <w14:schemeClr w14:val="tx1"/>
            </w14:solidFill>
          </w14:textFill>
        </w:rPr>
        <w:t>，并逐一说明了证明目的，充分听取了当事人的陈述与申辩意见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听证会程序符合法律规定</w:t>
      </w:r>
      <w:r>
        <w:rPr>
          <w:rFonts w:hint="default" w:ascii="Times New Roman" w:hAnsi="Times New Roman" w:eastAsia="仿宋_GB2312" w:cs="Times New Roman"/>
          <w:bCs/>
          <w:color w:val="000000" w:themeColor="text1"/>
          <w:spacing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8"/>
          <w:sz w:val="32"/>
          <w:szCs w:val="32"/>
          <w:highlight w:val="none"/>
          <w:shd w:val="clear" w:color="auto" w:fill="FFFFFF"/>
          <w:lang w:val="en-US" w:eastAsia="zh-CN"/>
          <w14:textFill>
            <w14:solidFill>
              <w14:schemeClr w14:val="tx1"/>
            </w14:solidFill>
          </w14:textFill>
        </w:rPr>
        <w:t>上述事实，有以下证据证明：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第一组证据：当事人</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《营业执照》等相关证照；2017、2018年度财务报表；现场笔录；《陕西生态水泥股份有限公司价格监督管理办法（暂行）》等。证明当事人主体资格、价格管理模式、与其他</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企业具有竞争关系及相关年度销售额。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第二组证据：</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当事人</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相关负责人</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微信聊天记录；</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当事人的</w:t>
      </w:r>
      <w:r>
        <w:rPr>
          <w:rFonts w:hint="default"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《关于对垄断行为申请减免的报告》（陕水泥司函〔2021〕17号）</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；其他涉案企业相关负责人</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询问调查笔录、微信聊天记录；部分企业相关</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会议记录（纪要）、工作总结、情况说明等。证明当事人与其他</w:t>
      </w:r>
      <w:r>
        <w:rPr>
          <w:rFonts w:hint="eastAsia"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涉案</w:t>
      </w: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企业通过意思联络或沟通交流达成统一涨价的垄断协议。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第三组证据：</w:t>
      </w:r>
      <w:r>
        <w:rPr>
          <w:rFonts w:hint="default"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当事人</w:t>
      </w:r>
      <w:r>
        <w:rPr>
          <w:rFonts w:hint="eastAsia"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《价格执行表》、《价格涨幅表》、《陕西富平生态水泥有限公司2017-2018年水泥调价单》、《陕西富平生态水泥有限公司调价函统计表》；《客商合同资料》、《客商发票资料》等；其余各涉案企业</w:t>
      </w:r>
      <w:r>
        <w:rPr>
          <w:rFonts w:hint="eastAsia"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pacing w:val="0"/>
          <w:sz w:val="32"/>
          <w:szCs w:val="32"/>
          <w:highlight w:val="none"/>
          <w:shd w:val="clear" w:color="auto" w:fill="auto"/>
          <w:lang w:val="en-US" w:eastAsia="zh-CN"/>
          <w14:textFill>
            <w14:solidFill>
              <w14:schemeClr w14:val="tx1"/>
            </w14:solidFill>
          </w14:textFill>
        </w:rPr>
        <w:t>价格调整相关资料。证明当事人通过一致性行为实施统一涨价的垄断协议。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shd w:val="clear" w:color="auto" w:fill="FFFFFF"/>
          <w:lang w:val="en-US" w:eastAsia="zh-CN"/>
          <w14:textFill>
            <w14:solidFill>
              <w14:schemeClr w14:val="tx1"/>
            </w14:solidFill>
          </w14:textFill>
        </w:rPr>
        <w:t>第四组证据：陕西省工业和信息化厅等部门提供的数据材料等。证明相关市场的市场结构、竞争状况、市场变化等情况。</w:t>
      </w:r>
    </w:p>
    <w:p>
      <w:pPr>
        <w:pStyle w:val="5"/>
        <w:keepNext w:val="0"/>
        <w:keepLines w:val="0"/>
        <w:pageBreakBefore w:val="0"/>
        <w:widowControl/>
        <w:kinsoku/>
        <w:wordWrap w:val="0"/>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color w:val="000000" w:themeColor="text1"/>
          <w:sz w:val="32"/>
          <w:szCs w:val="32"/>
          <w:highlight w:val="none"/>
          <w:u w:val="none"/>
          <w:lang w:val="en-US" w:eastAsia="zh-CN"/>
          <w14:textFill>
            <w14:solidFill>
              <w14:schemeClr w14:val="tx1"/>
            </w14:solidFill>
          </w14:textFill>
        </w:rPr>
        <w:t>五、行政</w:t>
      </w:r>
      <w:r>
        <w:rPr>
          <w:rFonts w:hint="default" w:ascii="Times New Roman" w:hAnsi="Times New Roman" w:eastAsia="黑体" w:cs="Times New Roman"/>
          <w:b w:val="0"/>
          <w:bCs/>
          <w:color w:val="000000" w:themeColor="text1"/>
          <w:sz w:val="32"/>
          <w:szCs w:val="32"/>
          <w:highlight w:val="none"/>
          <w:u w:val="none"/>
          <w:lang w:eastAsia="zh-CN"/>
          <w14:textFill>
            <w14:solidFill>
              <w14:schemeClr w14:val="tx1"/>
            </w14:solidFill>
          </w14:textFill>
        </w:rPr>
        <w:t>处罚决定及依据</w:t>
      </w:r>
    </w:p>
    <w:p>
      <w:pPr>
        <w:keepNext w:val="0"/>
        <w:keepLines w:val="0"/>
        <w:pageBreakBefore w:val="0"/>
        <w:numPr>
          <w:ilvl w:val="0"/>
          <w:numId w:val="0"/>
        </w:numPr>
        <w:kinsoku/>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本</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局</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认定，当事人与其他具有竞争关系的</w:t>
      </w:r>
      <w:r>
        <w:rPr>
          <w:rFonts w:hint="eastAsia"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涉案</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企业</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在</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陕西</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省水泥协会的组织下</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或自发组织</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多次协商并</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统一上调水泥销售价格</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的</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行为违反《反垄断法》第十三条第一款第（一）项的规定，属于具有竞争关系的经营者达成并实施</w:t>
      </w:r>
      <w:r>
        <w:rPr>
          <w:rFonts w:hint="eastAsia"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固定或者变更商品价格</w:t>
      </w:r>
      <w:r>
        <w:rPr>
          <w:rFonts w:hint="eastAsia"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垄断协议的违法行为，上述行为排除、限制陕西省关中区域水泥市场的竞争，破坏建材行业公平竞争市场秩序，降低经济运行效率，损害消费者利益和社会公共利益。根据《反垄断法》第四十六条、第四十九条，</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鉴于当事人在调查后期能够积极主动配合调查，主动报告违法行为并提供重要证据，按要求如实提供调查所需的相关材料，综合</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考虑当事人违法行为的性质、程度和持续时间，本局</w:t>
      </w:r>
      <w:r>
        <w:rPr>
          <w:rFonts w:hint="default" w:ascii="Times New Roman" w:hAnsi="Times New Roman" w:eastAsia="仿宋_GB2312" w:cs="Times New Roman"/>
          <w:b w:val="0"/>
          <w:bCs/>
          <w:color w:val="000000" w:themeColor="text1"/>
          <w:sz w:val="32"/>
          <w:szCs w:val="32"/>
          <w:highlight w:val="none"/>
          <w:u w:val="none"/>
          <w:lang w:val="en-US" w:eastAsia="zh-CN"/>
          <w14:textFill>
            <w14:solidFill>
              <w14:schemeClr w14:val="tx1"/>
            </w14:solidFill>
          </w14:textFill>
        </w:rPr>
        <w:t>决定</w:t>
      </w:r>
      <w:r>
        <w:rPr>
          <w:rFonts w:hint="default" w:ascii="Times New Roman" w:hAnsi="Times New Roman" w:eastAsia="仿宋_GB2312" w:cs="Times New Roman"/>
          <w:b w:val="0"/>
          <w:bCs/>
          <w:color w:val="000000" w:themeColor="text1"/>
          <w:sz w:val="32"/>
          <w:szCs w:val="32"/>
          <w:highlight w:val="none"/>
          <w:u w:val="none"/>
          <w:lang w:eastAsia="zh-CN"/>
          <w14:textFill>
            <w14:solidFill>
              <w14:schemeClr w14:val="tx1"/>
            </w14:solidFill>
          </w14:textFill>
        </w:rPr>
        <w:t>责令当事人停止违法行为，并作出如下行政处罚：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pacing w:val="0"/>
          <w:sz w:val="32"/>
          <w:szCs w:val="32"/>
          <w:highlight w:val="none"/>
          <w:lang w:val="en-US" w:eastAsia="zh-CN"/>
          <w14:textFill>
            <w14:solidFill>
              <w14:schemeClr w14:val="tx1"/>
            </w14:solidFill>
          </w14:textFill>
        </w:rPr>
        <w:t>对陕西生态水泥股份有限公司处2018年度销售额1,405,441,156.38元2%的罚款，共计28,108,823.13元（大写：贰仟捌佰壹拾万捌仟捌佰贰拾叁元壹角叁分）。</w:t>
      </w:r>
    </w:p>
    <w:p>
      <w:pPr>
        <w:keepNext w:val="0"/>
        <w:keepLines w:val="0"/>
        <w:pageBreakBefore w:val="0"/>
        <w:widowControl w:val="0"/>
        <w:kinsoku/>
        <w:wordWrap w:val="0"/>
        <w:overflowPunct/>
        <w:topLinePunct w:val="0"/>
        <w:autoSpaceDE/>
        <w:autoSpaceDN/>
        <w:bidi w:val="0"/>
        <w:adjustRightInd w:val="0"/>
        <w:snapToGrid w:val="0"/>
        <w:spacing w:line="560" w:lineRule="exact"/>
        <w:ind w:right="0"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按照</w:t>
      </w:r>
      <w:r>
        <w:rPr>
          <w:rFonts w:hint="default" w:ascii="Times New Roman" w:hAnsi="Times New Roman" w:eastAsia="仿宋_GB2312" w:cs="Times New Roman"/>
          <w:sz w:val="32"/>
          <w:szCs w:val="32"/>
          <w:u w:val="none"/>
        </w:rPr>
        <w:t>《行政处罚法》第</w:t>
      </w:r>
      <w:r>
        <w:rPr>
          <w:rFonts w:hint="default" w:ascii="Times New Roman" w:hAnsi="Times New Roman" w:eastAsia="仿宋_GB2312" w:cs="Times New Roman"/>
          <w:sz w:val="32"/>
          <w:szCs w:val="32"/>
          <w:u w:val="none"/>
          <w:lang w:val="en-US" w:eastAsia="zh-CN"/>
        </w:rPr>
        <w:t>六十七</w:t>
      </w:r>
      <w:r>
        <w:rPr>
          <w:rFonts w:hint="eastAsia" w:ascii="Times New Roman" w:hAnsi="Times New Roman" w:eastAsia="仿宋_GB2312" w:cs="Times New Roman"/>
          <w:sz w:val="32"/>
          <w:szCs w:val="32"/>
          <w:u w:val="none"/>
          <w:lang w:val="en-US" w:eastAsia="zh-CN"/>
        </w:rPr>
        <w:t>条</w:t>
      </w:r>
      <w:r>
        <w:rPr>
          <w:rFonts w:hint="default" w:ascii="Times New Roman" w:hAnsi="Times New Roman" w:eastAsia="仿宋_GB2312" w:cs="Times New Roman"/>
          <w:sz w:val="32"/>
          <w:szCs w:val="32"/>
          <w:u w:val="none"/>
        </w:rPr>
        <w:t>规定，</w:t>
      </w:r>
      <w:r>
        <w:rPr>
          <w:rFonts w:hint="default" w:ascii="Times New Roman" w:hAnsi="Times New Roman" w:eastAsia="仿宋_GB2312" w:cs="Times New Roman"/>
          <w:sz w:val="32"/>
          <w:szCs w:val="32"/>
          <w:u w:val="none"/>
          <w:lang w:eastAsia="zh-CN"/>
        </w:rPr>
        <w:t>当事人应当自收到本行政处罚决定书之日起十五日内</w:t>
      </w:r>
      <w:r>
        <w:rPr>
          <w:rFonts w:hint="eastAsia" w:ascii="Times New Roman" w:hAnsi="Times New Roman" w:eastAsia="仿宋_GB2312" w:cs="Times New Roman"/>
          <w:sz w:val="32"/>
          <w:szCs w:val="32"/>
          <w:u w:val="none"/>
          <w:lang w:val="en-US" w:eastAsia="zh-CN"/>
        </w:rPr>
        <w:t>缴纳罚款</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en-US" w:eastAsia="zh-CN"/>
        </w:rPr>
        <w:t>（缴款提示：收到缴款短信后按照提示直接缴纳罚款，或持缴款通知书到银行缴款）</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sz w:val="32"/>
          <w:szCs w:val="32"/>
          <w:u w:val="none"/>
          <w:lang w:val="en-US" w:eastAsia="zh-CN"/>
        </w:rPr>
        <w:t>根据《行政处罚法》第七十二条规定，当事人逾期不履行行政处罚决定的，本局可以采取以下措施：（一）</w:t>
      </w:r>
      <w:r>
        <w:rPr>
          <w:rFonts w:hint="default" w:ascii="Times New Roman" w:hAnsi="Times New Roman" w:eastAsia="仿宋_GB2312" w:cs="Times New Roman"/>
          <w:sz w:val="32"/>
          <w:szCs w:val="32"/>
          <w:u w:val="none"/>
        </w:rPr>
        <w:t>到期不交纳罚款的，每日按罚款数额的百分之三加处罚款</w:t>
      </w:r>
      <w:r>
        <w:rPr>
          <w:rFonts w:hint="default" w:ascii="Times New Roman" w:hAnsi="Times New Roman" w:eastAsia="仿宋_GB2312" w:cs="Times New Roman"/>
          <w:sz w:val="32"/>
          <w:szCs w:val="32"/>
          <w:u w:val="none"/>
          <w:lang w:val="en-US" w:eastAsia="zh-CN"/>
        </w:rPr>
        <w:t>；（二）</w:t>
      </w:r>
      <w:r>
        <w:rPr>
          <w:rFonts w:hint="default" w:ascii="Times New Roman" w:hAnsi="Times New Roman" w:eastAsia="仿宋_GB2312" w:cs="Times New Roman"/>
          <w:bCs/>
          <w:color w:val="auto"/>
          <w:sz w:val="32"/>
          <w:szCs w:val="32"/>
          <w:highlight w:val="none"/>
          <w:lang w:val="en-US" w:eastAsia="zh-CN"/>
        </w:rPr>
        <w:t>依照《中华人民共和国行政强制法》的规定申请人民法院强制执行。</w:t>
      </w:r>
    </w:p>
    <w:p>
      <w:pPr>
        <w:keepNext w:val="0"/>
        <w:keepLines w:val="0"/>
        <w:pageBreakBefore w:val="0"/>
        <w:widowControl w:val="0"/>
        <w:kinsoku/>
        <w:wordWrap/>
        <w:overflowPunct/>
        <w:topLinePunct w:val="0"/>
        <w:autoSpaceDE/>
        <w:autoSpaceDN/>
        <w:bidi w:val="0"/>
        <w:spacing w:line="560" w:lineRule="exact"/>
        <w:ind w:right="0"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当事人如对上述行政处罚决定不服，可以自收到本行政处罚决定书之日起六十日内，</w:t>
      </w:r>
      <w:r>
        <w:rPr>
          <w:rFonts w:hint="default" w:ascii="Times New Roman" w:hAnsi="Times New Roman" w:eastAsia="仿宋_GB2312" w:cs="Times New Roman"/>
          <w:sz w:val="32"/>
          <w:szCs w:val="32"/>
          <w:highlight w:val="none"/>
          <w:u w:val="none"/>
          <w:lang w:eastAsia="zh-CN"/>
        </w:rPr>
        <w:t>向</w:t>
      </w:r>
      <w:r>
        <w:rPr>
          <w:rFonts w:hint="default" w:ascii="Times New Roman" w:hAnsi="Times New Roman" w:eastAsia="仿宋_GB2312" w:cs="Times New Roman"/>
          <w:sz w:val="32"/>
          <w:szCs w:val="32"/>
          <w:highlight w:val="none"/>
          <w:u w:val="none"/>
          <w:lang w:val="en-US" w:eastAsia="zh-CN"/>
        </w:rPr>
        <w:t>国家市场监督管理总局或陕西省人民政府</w:t>
      </w:r>
      <w:r>
        <w:rPr>
          <w:rFonts w:hint="default" w:ascii="Times New Roman" w:hAnsi="Times New Roman" w:eastAsia="仿宋_GB2312" w:cs="Times New Roman"/>
          <w:sz w:val="32"/>
          <w:szCs w:val="32"/>
          <w:highlight w:val="none"/>
          <w:u w:val="none"/>
          <w:lang w:eastAsia="zh-CN"/>
        </w:rPr>
        <w:t>申请行政复议；</w:t>
      </w:r>
      <w:r>
        <w:rPr>
          <w:rFonts w:hint="default" w:ascii="Times New Roman" w:hAnsi="Times New Roman" w:eastAsia="仿宋_GB2312" w:cs="Times New Roman"/>
          <w:sz w:val="32"/>
          <w:szCs w:val="32"/>
          <w:u w:val="none"/>
          <w:lang w:eastAsia="zh-CN"/>
        </w:rPr>
        <w:t>或者自收到本行政处罚决定书之日起六个月内，依法向人民法院提起行政诉讼</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行政复议或者行政诉讼期间，本行政处罚决定不停止执行。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陕西省市场监督管理局</w:t>
      </w:r>
    </w:p>
    <w:p>
      <w:pPr>
        <w:keepNext w:val="0"/>
        <w:keepLines w:val="0"/>
        <w:pageBreakBefore w:val="0"/>
        <w:numPr>
          <w:ilvl w:val="0"/>
          <w:numId w:val="0"/>
        </w:numPr>
        <w:kinsoku/>
        <w:overflowPunct/>
        <w:topLinePunct w:val="0"/>
        <w:autoSpaceDE/>
        <w:autoSpaceDN/>
        <w:bidi w:val="0"/>
        <w:spacing w:line="560" w:lineRule="exact"/>
        <w:ind w:firstLine="0" w:firstLineChars="0"/>
        <w:textAlignment w:val="auto"/>
        <w:rPr>
          <w:rFonts w:hint="default" w:ascii="Times New Roman" w:hAnsi="Times New Roman" w:eastAsia="仿宋_GB2312" w:cs="Times New Roman"/>
          <w:color w:val="000000" w:themeColor="text1"/>
          <w:spacing w:val="0"/>
          <w:sz w:val="32"/>
          <w:szCs w:val="32"/>
          <w:highlight w:val="none"/>
          <w:shd w:val="clear" w:color="auto" w:fill="FFFFFF"/>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 xml:space="preserve">                              2022年6月</w:t>
      </w:r>
      <w:r>
        <w:rPr>
          <w:rFonts w:hint="eastAsia"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28</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日</w:t>
      </w:r>
    </w:p>
    <w:sectPr>
      <w:footerReference r:id="rId3" w:type="default"/>
      <w:pgSz w:w="11906" w:h="16838"/>
      <w:pgMar w:top="1440" w:right="1474" w:bottom="115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18"/>
                              <w:szCs w:val="18"/>
                            </w:rPr>
                            <w:fldChar w:fldCharType="begin"/>
                          </w:r>
                          <w:r>
                            <w:rPr>
                              <w:rFonts w:hint="eastAsia" w:asciiTheme="minorEastAsia" w:hAnsiTheme="minorEastAsia" w:cstheme="minorEastAsia"/>
                              <w:sz w:val="18"/>
                              <w:szCs w:val="18"/>
                            </w:rPr>
                            <w:instrText xml:space="preserve"> PAGE  \* MERGEFORMAT </w:instrText>
                          </w:r>
                          <w:r>
                            <w:rPr>
                              <w:rFonts w:hint="eastAsia" w:asciiTheme="minorEastAsia" w:hAnsiTheme="minorEastAsia" w:cstheme="minorEastAsia"/>
                              <w:sz w:val="18"/>
                              <w:szCs w:val="18"/>
                            </w:rPr>
                            <w:fldChar w:fldCharType="separate"/>
                          </w:r>
                          <w:r>
                            <w:rPr>
                              <w:rFonts w:hint="eastAsia" w:asciiTheme="minorEastAsia" w:hAnsiTheme="minorEastAsia" w:cstheme="minorEastAsia"/>
                              <w:sz w:val="18"/>
                              <w:szCs w:val="18"/>
                            </w:rPr>
                            <w:t>1</w:t>
                          </w:r>
                          <w:r>
                            <w:rPr>
                              <w:rFonts w:hint="eastAsia" w:asciiTheme="minorEastAsia" w:hAnsiTheme="minorEastAsia" w:cstheme="minorEastAsia"/>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18"/>
                        <w:szCs w:val="18"/>
                      </w:rPr>
                      <w:fldChar w:fldCharType="begin"/>
                    </w:r>
                    <w:r>
                      <w:rPr>
                        <w:rFonts w:hint="eastAsia" w:asciiTheme="minorEastAsia" w:hAnsiTheme="minorEastAsia" w:cstheme="minorEastAsia"/>
                        <w:sz w:val="18"/>
                        <w:szCs w:val="18"/>
                      </w:rPr>
                      <w:instrText xml:space="preserve"> PAGE  \* MERGEFORMAT </w:instrText>
                    </w:r>
                    <w:r>
                      <w:rPr>
                        <w:rFonts w:hint="eastAsia" w:asciiTheme="minorEastAsia" w:hAnsiTheme="minorEastAsia" w:cstheme="minorEastAsia"/>
                        <w:sz w:val="18"/>
                        <w:szCs w:val="18"/>
                      </w:rPr>
                      <w:fldChar w:fldCharType="separate"/>
                    </w:r>
                    <w:r>
                      <w:rPr>
                        <w:rFonts w:hint="eastAsia" w:asciiTheme="minorEastAsia" w:hAnsiTheme="minorEastAsia" w:cstheme="minorEastAsia"/>
                        <w:sz w:val="18"/>
                        <w:szCs w:val="18"/>
                      </w:rPr>
                      <w:t>1</w:t>
                    </w:r>
                    <w:r>
                      <w:rPr>
                        <w:rFonts w:hint="eastAsia" w:asciiTheme="minorEastAsia" w:hAnsiTheme="minorEastAsia" w:cstheme="minorEastAsia"/>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AF57"/>
    <w:multiLevelType w:val="singleLevel"/>
    <w:tmpl w:val="1D94AF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0DBE"/>
    <w:rsid w:val="00F53125"/>
    <w:rsid w:val="012308D6"/>
    <w:rsid w:val="013D1928"/>
    <w:rsid w:val="02DC7760"/>
    <w:rsid w:val="036135F9"/>
    <w:rsid w:val="0400747C"/>
    <w:rsid w:val="04556D28"/>
    <w:rsid w:val="04C66B88"/>
    <w:rsid w:val="05213D35"/>
    <w:rsid w:val="05C00041"/>
    <w:rsid w:val="05E836C1"/>
    <w:rsid w:val="06DB3A69"/>
    <w:rsid w:val="06EA7FE5"/>
    <w:rsid w:val="074012CD"/>
    <w:rsid w:val="0770759B"/>
    <w:rsid w:val="079B3F66"/>
    <w:rsid w:val="07BA7BA7"/>
    <w:rsid w:val="07CF77A2"/>
    <w:rsid w:val="07DC3D15"/>
    <w:rsid w:val="08173CBF"/>
    <w:rsid w:val="0863584A"/>
    <w:rsid w:val="08716B68"/>
    <w:rsid w:val="0948672C"/>
    <w:rsid w:val="0976720A"/>
    <w:rsid w:val="09CE1022"/>
    <w:rsid w:val="09FA04D0"/>
    <w:rsid w:val="0A7D6CBE"/>
    <w:rsid w:val="0ACB0CBA"/>
    <w:rsid w:val="0AD42546"/>
    <w:rsid w:val="0B0C5180"/>
    <w:rsid w:val="0BAB2AA6"/>
    <w:rsid w:val="0C0E0744"/>
    <w:rsid w:val="0C9215DF"/>
    <w:rsid w:val="0D2A50C9"/>
    <w:rsid w:val="0D317D3C"/>
    <w:rsid w:val="0D3C2F24"/>
    <w:rsid w:val="0DC906C9"/>
    <w:rsid w:val="0E172295"/>
    <w:rsid w:val="0E376AA3"/>
    <w:rsid w:val="0E521290"/>
    <w:rsid w:val="0E85140B"/>
    <w:rsid w:val="0F2338BF"/>
    <w:rsid w:val="0F45351B"/>
    <w:rsid w:val="10712C53"/>
    <w:rsid w:val="114508F1"/>
    <w:rsid w:val="11DA1BC8"/>
    <w:rsid w:val="11FD2F8D"/>
    <w:rsid w:val="12021460"/>
    <w:rsid w:val="125A6640"/>
    <w:rsid w:val="134465B1"/>
    <w:rsid w:val="136D14EF"/>
    <w:rsid w:val="138D4392"/>
    <w:rsid w:val="13FF5427"/>
    <w:rsid w:val="14A71782"/>
    <w:rsid w:val="15B03378"/>
    <w:rsid w:val="15B2180E"/>
    <w:rsid w:val="15B51F48"/>
    <w:rsid w:val="16735D00"/>
    <w:rsid w:val="18287C24"/>
    <w:rsid w:val="18BD287C"/>
    <w:rsid w:val="193241AD"/>
    <w:rsid w:val="19A51280"/>
    <w:rsid w:val="1A040538"/>
    <w:rsid w:val="1A7D7F74"/>
    <w:rsid w:val="1AB65028"/>
    <w:rsid w:val="1AEC2C6E"/>
    <w:rsid w:val="1AF263A9"/>
    <w:rsid w:val="1B12117D"/>
    <w:rsid w:val="1B38136A"/>
    <w:rsid w:val="1B536AF0"/>
    <w:rsid w:val="1B6121E4"/>
    <w:rsid w:val="1B797376"/>
    <w:rsid w:val="1BA35601"/>
    <w:rsid w:val="1C2454F0"/>
    <w:rsid w:val="1C4B513D"/>
    <w:rsid w:val="1C5564A5"/>
    <w:rsid w:val="1D6E0A99"/>
    <w:rsid w:val="1DCB3FA1"/>
    <w:rsid w:val="1DE44ED6"/>
    <w:rsid w:val="1DF7623D"/>
    <w:rsid w:val="1E646FE2"/>
    <w:rsid w:val="1E980316"/>
    <w:rsid w:val="1EE61928"/>
    <w:rsid w:val="1F2C10D5"/>
    <w:rsid w:val="1F2C19B5"/>
    <w:rsid w:val="1F77263C"/>
    <w:rsid w:val="202054D8"/>
    <w:rsid w:val="20484C25"/>
    <w:rsid w:val="20904294"/>
    <w:rsid w:val="21A223BE"/>
    <w:rsid w:val="21BB3EBD"/>
    <w:rsid w:val="2274785E"/>
    <w:rsid w:val="22FB62EA"/>
    <w:rsid w:val="234E3243"/>
    <w:rsid w:val="236C42D4"/>
    <w:rsid w:val="238002CA"/>
    <w:rsid w:val="239D347E"/>
    <w:rsid w:val="23E82077"/>
    <w:rsid w:val="24BD655D"/>
    <w:rsid w:val="24D575E7"/>
    <w:rsid w:val="267A39BB"/>
    <w:rsid w:val="26C17699"/>
    <w:rsid w:val="279B0AFC"/>
    <w:rsid w:val="27A017E4"/>
    <w:rsid w:val="27A95792"/>
    <w:rsid w:val="27D15199"/>
    <w:rsid w:val="27E67EA5"/>
    <w:rsid w:val="28A17480"/>
    <w:rsid w:val="2923120B"/>
    <w:rsid w:val="2A895664"/>
    <w:rsid w:val="2AB7114B"/>
    <w:rsid w:val="2B131725"/>
    <w:rsid w:val="2B594C86"/>
    <w:rsid w:val="2B9D16FD"/>
    <w:rsid w:val="2C9C082E"/>
    <w:rsid w:val="2CA3594A"/>
    <w:rsid w:val="2CE0789D"/>
    <w:rsid w:val="2D624B63"/>
    <w:rsid w:val="2EE3395F"/>
    <w:rsid w:val="2F0A709F"/>
    <w:rsid w:val="2F0D0E1E"/>
    <w:rsid w:val="2F201127"/>
    <w:rsid w:val="2F24056D"/>
    <w:rsid w:val="2F5259DD"/>
    <w:rsid w:val="30251B6E"/>
    <w:rsid w:val="311439CD"/>
    <w:rsid w:val="312C0417"/>
    <w:rsid w:val="31900F86"/>
    <w:rsid w:val="31EC1337"/>
    <w:rsid w:val="32EE3C75"/>
    <w:rsid w:val="333D7840"/>
    <w:rsid w:val="33B2575C"/>
    <w:rsid w:val="345E684D"/>
    <w:rsid w:val="3495267F"/>
    <w:rsid w:val="352B12B2"/>
    <w:rsid w:val="35903E98"/>
    <w:rsid w:val="35DD0E91"/>
    <w:rsid w:val="35DD2723"/>
    <w:rsid w:val="361459F5"/>
    <w:rsid w:val="36261C3B"/>
    <w:rsid w:val="364B078D"/>
    <w:rsid w:val="366D1B31"/>
    <w:rsid w:val="366E3D63"/>
    <w:rsid w:val="3676199F"/>
    <w:rsid w:val="36D75B38"/>
    <w:rsid w:val="37366323"/>
    <w:rsid w:val="38457840"/>
    <w:rsid w:val="38A554E5"/>
    <w:rsid w:val="38B04943"/>
    <w:rsid w:val="390445EC"/>
    <w:rsid w:val="391A1D33"/>
    <w:rsid w:val="395374F0"/>
    <w:rsid w:val="39B32891"/>
    <w:rsid w:val="39D33326"/>
    <w:rsid w:val="3A4236D2"/>
    <w:rsid w:val="3A9B25A4"/>
    <w:rsid w:val="3B291ACF"/>
    <w:rsid w:val="3B5C225C"/>
    <w:rsid w:val="3BCC25A9"/>
    <w:rsid w:val="3BE14825"/>
    <w:rsid w:val="3BFF68EA"/>
    <w:rsid w:val="3C4131D2"/>
    <w:rsid w:val="3C914424"/>
    <w:rsid w:val="3C945361"/>
    <w:rsid w:val="3CC15B98"/>
    <w:rsid w:val="3CFC6A5C"/>
    <w:rsid w:val="3DC91473"/>
    <w:rsid w:val="3DED05AF"/>
    <w:rsid w:val="3E557B54"/>
    <w:rsid w:val="3E595C6C"/>
    <w:rsid w:val="3EC24A89"/>
    <w:rsid w:val="3EE405BD"/>
    <w:rsid w:val="3EF76045"/>
    <w:rsid w:val="3F436D2C"/>
    <w:rsid w:val="3F585BE8"/>
    <w:rsid w:val="3FF214A4"/>
    <w:rsid w:val="41041679"/>
    <w:rsid w:val="411B7690"/>
    <w:rsid w:val="416920AB"/>
    <w:rsid w:val="41AD7188"/>
    <w:rsid w:val="41EC6E66"/>
    <w:rsid w:val="41FB0DB7"/>
    <w:rsid w:val="4267061B"/>
    <w:rsid w:val="428C6C83"/>
    <w:rsid w:val="42FB6DBC"/>
    <w:rsid w:val="432E7159"/>
    <w:rsid w:val="43A37107"/>
    <w:rsid w:val="440F4CBB"/>
    <w:rsid w:val="441836E1"/>
    <w:rsid w:val="447339E7"/>
    <w:rsid w:val="44DA743B"/>
    <w:rsid w:val="45B65692"/>
    <w:rsid w:val="45CC49D0"/>
    <w:rsid w:val="45FA2938"/>
    <w:rsid w:val="460737A4"/>
    <w:rsid w:val="461E1C9E"/>
    <w:rsid w:val="47076C1A"/>
    <w:rsid w:val="47B10B40"/>
    <w:rsid w:val="47F535FA"/>
    <w:rsid w:val="47FD40C7"/>
    <w:rsid w:val="480E16DB"/>
    <w:rsid w:val="4837349C"/>
    <w:rsid w:val="4843681B"/>
    <w:rsid w:val="499C0A3F"/>
    <w:rsid w:val="499C2180"/>
    <w:rsid w:val="49BD3305"/>
    <w:rsid w:val="49F75763"/>
    <w:rsid w:val="4A1156DF"/>
    <w:rsid w:val="4BD65BBF"/>
    <w:rsid w:val="4BF07591"/>
    <w:rsid w:val="4BFA7F02"/>
    <w:rsid w:val="4C26454D"/>
    <w:rsid w:val="4C8B7132"/>
    <w:rsid w:val="4CBE3CEF"/>
    <w:rsid w:val="4DA4365C"/>
    <w:rsid w:val="4DD1013B"/>
    <w:rsid w:val="4E0F558F"/>
    <w:rsid w:val="4E7D6457"/>
    <w:rsid w:val="4EA4146B"/>
    <w:rsid w:val="4F0B4167"/>
    <w:rsid w:val="4FCF2539"/>
    <w:rsid w:val="4FD75B52"/>
    <w:rsid w:val="500F5C67"/>
    <w:rsid w:val="50630ABF"/>
    <w:rsid w:val="50DA228E"/>
    <w:rsid w:val="512C16E6"/>
    <w:rsid w:val="512F2D36"/>
    <w:rsid w:val="519E23AF"/>
    <w:rsid w:val="52737F9E"/>
    <w:rsid w:val="53C226F1"/>
    <w:rsid w:val="54031205"/>
    <w:rsid w:val="55106D67"/>
    <w:rsid w:val="55B153A6"/>
    <w:rsid w:val="563C03C5"/>
    <w:rsid w:val="56727669"/>
    <w:rsid w:val="56763869"/>
    <w:rsid w:val="56B546F7"/>
    <w:rsid w:val="57467D59"/>
    <w:rsid w:val="57CF5A0D"/>
    <w:rsid w:val="57DF4FB5"/>
    <w:rsid w:val="57EE20B2"/>
    <w:rsid w:val="584A549C"/>
    <w:rsid w:val="586620E8"/>
    <w:rsid w:val="58C9325B"/>
    <w:rsid w:val="58EE3776"/>
    <w:rsid w:val="598A5619"/>
    <w:rsid w:val="59912D57"/>
    <w:rsid w:val="59E41B0D"/>
    <w:rsid w:val="5A6C7756"/>
    <w:rsid w:val="5BC148E2"/>
    <w:rsid w:val="5BD170BD"/>
    <w:rsid w:val="5BF3746A"/>
    <w:rsid w:val="5C0F790F"/>
    <w:rsid w:val="5C6135E3"/>
    <w:rsid w:val="5C663770"/>
    <w:rsid w:val="5C9D790E"/>
    <w:rsid w:val="5CB96F8A"/>
    <w:rsid w:val="5CD53DAE"/>
    <w:rsid w:val="5CF406DE"/>
    <w:rsid w:val="5D0667E4"/>
    <w:rsid w:val="5D2F5617"/>
    <w:rsid w:val="5D872768"/>
    <w:rsid w:val="5D88772A"/>
    <w:rsid w:val="5D927313"/>
    <w:rsid w:val="5D9D1DC2"/>
    <w:rsid w:val="5DC52453"/>
    <w:rsid w:val="5DE5424C"/>
    <w:rsid w:val="5E0F2CB1"/>
    <w:rsid w:val="5FDA1427"/>
    <w:rsid w:val="60043A08"/>
    <w:rsid w:val="6073259A"/>
    <w:rsid w:val="610C130D"/>
    <w:rsid w:val="626C7F85"/>
    <w:rsid w:val="629E513A"/>
    <w:rsid w:val="63475A0F"/>
    <w:rsid w:val="63B27671"/>
    <w:rsid w:val="63BE71F4"/>
    <w:rsid w:val="641A05AB"/>
    <w:rsid w:val="64BC3CDB"/>
    <w:rsid w:val="64CA306D"/>
    <w:rsid w:val="650B2AA6"/>
    <w:rsid w:val="652A5785"/>
    <w:rsid w:val="657D38B5"/>
    <w:rsid w:val="65CA0534"/>
    <w:rsid w:val="65DE652D"/>
    <w:rsid w:val="66936F26"/>
    <w:rsid w:val="66F32139"/>
    <w:rsid w:val="67BF32DD"/>
    <w:rsid w:val="688D6D76"/>
    <w:rsid w:val="6898455F"/>
    <w:rsid w:val="68BB0CDC"/>
    <w:rsid w:val="68DE4F7B"/>
    <w:rsid w:val="69E2467A"/>
    <w:rsid w:val="69E95B74"/>
    <w:rsid w:val="6A505E41"/>
    <w:rsid w:val="6AB64CD5"/>
    <w:rsid w:val="6B857795"/>
    <w:rsid w:val="6C0B7EA6"/>
    <w:rsid w:val="6C0D4AD4"/>
    <w:rsid w:val="6C0F1270"/>
    <w:rsid w:val="6C4D75C3"/>
    <w:rsid w:val="6C672A4F"/>
    <w:rsid w:val="6CB95A5F"/>
    <w:rsid w:val="6CE31A7F"/>
    <w:rsid w:val="6D2D098E"/>
    <w:rsid w:val="6E1E3052"/>
    <w:rsid w:val="6EBB294F"/>
    <w:rsid w:val="6F2A0F64"/>
    <w:rsid w:val="701C0E64"/>
    <w:rsid w:val="70552BAA"/>
    <w:rsid w:val="705834EF"/>
    <w:rsid w:val="72623E6B"/>
    <w:rsid w:val="726371D0"/>
    <w:rsid w:val="728C4B47"/>
    <w:rsid w:val="72A90036"/>
    <w:rsid w:val="73814F04"/>
    <w:rsid w:val="73F03553"/>
    <w:rsid w:val="73F456E5"/>
    <w:rsid w:val="7466680F"/>
    <w:rsid w:val="757F3B02"/>
    <w:rsid w:val="76A14C91"/>
    <w:rsid w:val="76EC6D44"/>
    <w:rsid w:val="770D7DB5"/>
    <w:rsid w:val="774F21AC"/>
    <w:rsid w:val="77B5360F"/>
    <w:rsid w:val="78180F6A"/>
    <w:rsid w:val="78515BA5"/>
    <w:rsid w:val="78796C87"/>
    <w:rsid w:val="78EB48C3"/>
    <w:rsid w:val="7A0C718E"/>
    <w:rsid w:val="7AA43356"/>
    <w:rsid w:val="7BD01A68"/>
    <w:rsid w:val="7C01291F"/>
    <w:rsid w:val="7C535C9C"/>
    <w:rsid w:val="7CA5416D"/>
    <w:rsid w:val="7CD80B6A"/>
    <w:rsid w:val="7D28412D"/>
    <w:rsid w:val="7D340A2A"/>
    <w:rsid w:val="7E413421"/>
    <w:rsid w:val="7F154913"/>
    <w:rsid w:val="7F4C7C87"/>
    <w:rsid w:val="7F6F781F"/>
    <w:rsid w:val="7F715460"/>
    <w:rsid w:val="7FD1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2020-10-27T01:36:00Z</dcterms:created>
  <dc:creator>ygd</dc:creator>
  <cp:lastModifiedBy>王马川</cp:lastModifiedBy>
  <cp:lastPrinted>2022-06-28T08:00:00Z</cp:lastPrinted>
  <dcterms:modified xsi:type="dcterms:W3CDTF">2022-07-01T07:38:24Z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