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default" w:ascii="Times New Roman" w:hAnsi="Times New Roman" w:cs="Times New Roman"/>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陕西省市场监督管理局</w:t>
      </w:r>
    </w:p>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行政处罚决定书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陕市监反垄断</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字〔2022〕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号</w:t>
      </w:r>
    </w:p>
    <w:p>
      <w:pPr>
        <w:keepNext w:val="0"/>
        <w:keepLines w:val="0"/>
        <w:pageBreakBefore w:val="0"/>
        <w:widowControl w:val="0"/>
        <w:kinsoku/>
        <w:wordWrap/>
        <w:topLinePunct w:val="0"/>
        <w:autoSpaceDE/>
        <w:autoSpaceDN/>
        <w:bidi w:val="0"/>
        <w:adjustRightInd w:val="0"/>
        <w:snapToGrid w:val="0"/>
        <w:spacing w:line="56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一、当事人基本情况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yellow"/>
          <w:u w:val="none"/>
          <w:lang w:val="en-US" w:eastAsia="zh-CN"/>
        </w:rPr>
      </w:pPr>
      <w:r>
        <w:rPr>
          <w:rFonts w:hint="default" w:ascii="Times New Roman" w:hAnsi="Times New Roman" w:eastAsia="仿宋_GB2312" w:cs="Times New Roman"/>
          <w:b/>
          <w:bCs w:val="0"/>
          <w:color w:val="auto"/>
          <w:sz w:val="32"/>
          <w:szCs w:val="32"/>
          <w:u w:val="none"/>
          <w:lang w:val="en-US" w:eastAsia="zh-CN"/>
        </w:rPr>
        <w:t>当事人一：</w:t>
      </w:r>
      <w:r>
        <w:rPr>
          <w:rFonts w:hint="default" w:ascii="Times New Roman" w:hAnsi="Times New Roman" w:eastAsia="仿宋_GB2312" w:cs="Times New Roman"/>
          <w:b w:val="0"/>
          <w:bCs/>
          <w:color w:val="auto"/>
          <w:sz w:val="32"/>
          <w:szCs w:val="32"/>
          <w:highlight w:val="none"/>
          <w:u w:val="none"/>
          <w:lang w:val="en-US" w:eastAsia="zh-CN"/>
        </w:rPr>
        <w:t>陕西金隅冀东水泥经贸有限公司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统一社会信用代码：91610132MA6U2GQ99Y</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类型：有限责任公司(自然人投资或控股的法人独资)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 xml:space="preserve">住所：西安经济技术开发区明光路166号西安工业设计产业园凯瑞E座704室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法定代表人：刘长义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经营范围：普通货物运输、货物专用运输（罐式）；煤炭（不含现场交易、无仓储设施）、水泥及水泥制品、水泥添加剂、水泥熟料、混凝土及混凝土制品、混凝土外加剂、五金交电、建筑材料（木材除外）、石材、家具、机电设备及配件、普通机械设备、电气设备、石膏、矿产品（许可项目除外）的批发兼零售、技术咨询及技术服务；国内货运代理；仓储服务（易燃易爆危险品除外）。（上述经营范围中涉及许可项目的，凭许可证明文件、证件在有效期内经营，未经许可不得经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bCs w:val="0"/>
          <w:color w:val="auto"/>
          <w:sz w:val="32"/>
          <w:szCs w:val="32"/>
          <w:u w:val="none"/>
          <w:lang w:val="en-US" w:eastAsia="zh-CN"/>
        </w:rPr>
        <w:t>当事人二：</w:t>
      </w:r>
      <w:r>
        <w:rPr>
          <w:rFonts w:hint="default" w:ascii="Times New Roman" w:hAnsi="Times New Roman" w:eastAsia="仿宋_GB2312" w:cs="Times New Roman"/>
          <w:b w:val="0"/>
          <w:bCs/>
          <w:color w:val="auto"/>
          <w:sz w:val="32"/>
          <w:szCs w:val="32"/>
          <w:u w:val="none"/>
          <w:lang w:val="en-US" w:eastAsia="zh-CN"/>
        </w:rPr>
        <w:t>冀东海德堡（泾阳）水泥有限公司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统一社会信用代码：9161040075882947XW</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类型：有限责任公司(中外合资)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 xml:space="preserve">住所：陕西省咸阳市泾阳县王桥镇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法定代表人：JEAN CLAUDE JAMAR</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经营范围：水泥用石灰岩露天开采生产水泥、水泥熟料和相关的建筑产品，销售自产产品；提供有关的技术咨询和管理服务，在规定的矿区开采用于本企业水泥生产的石灰石，销售自产的石灰石和自营产品的运输。水泥窑协同处置固体废弃物。（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yellow"/>
          <w:u w:val="none"/>
          <w:lang w:val="en-US" w:eastAsia="zh-CN"/>
        </w:rPr>
      </w:pPr>
      <w:r>
        <w:rPr>
          <w:rFonts w:hint="default" w:ascii="Times New Roman" w:hAnsi="Times New Roman" w:eastAsia="仿宋_GB2312" w:cs="Times New Roman"/>
          <w:b/>
          <w:bCs w:val="0"/>
          <w:color w:val="auto"/>
          <w:sz w:val="32"/>
          <w:szCs w:val="32"/>
          <w:u w:val="none"/>
          <w:lang w:val="en-US" w:eastAsia="zh-CN"/>
        </w:rPr>
        <w:t>当事人三：</w:t>
      </w:r>
      <w:r>
        <w:rPr>
          <w:rFonts w:hint="default" w:ascii="Times New Roman" w:hAnsi="Times New Roman" w:eastAsia="仿宋_GB2312" w:cs="Times New Roman"/>
          <w:b w:val="0"/>
          <w:bCs/>
          <w:color w:val="auto"/>
          <w:sz w:val="32"/>
          <w:szCs w:val="32"/>
          <w:highlight w:val="none"/>
          <w:u w:val="none"/>
          <w:lang w:val="en-US" w:eastAsia="zh-CN"/>
        </w:rPr>
        <w:t>冀东海德堡（扶风）水泥有限公司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统一社会信用代码：91610300732681438Q</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类型：有限责任公司(台港澳与境内合资)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 xml:space="preserve">住所：陕西省宝鸡市扶风县天度镇闫马村北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法定代表人：JEAN CLAUDE JAMAR</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经营范围：一般项目：建筑材料销售；非金属矿物制品制造；非金属矿及制品销售；轻质建筑材料销售；轻质建筑材料制造；固体废物治理；技术服务、技术开发、技术咨询、技术交流、技术转让、技术推广(除依法须经批准的项目外，凭营业执照依法自主开展经营活动)。许可项目：城市生活垃圾经营性服务；水泥生产；矿产资源（非煤矿山）开采；危险废物经营；道路货物运输（不含危险货物）(依法须经批准的项目，经相关部门批准后方可开展经营活动，具体经营项目以审批结果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 w:val="0"/>
          <w:bCs/>
          <w:color w:val="auto"/>
          <w:sz w:val="32"/>
          <w:szCs w:val="32"/>
          <w:u w:val="none"/>
          <w:lang w:val="en-US" w:eastAsia="zh-CN"/>
        </w:rPr>
        <w:t>本案中，</w:t>
      </w:r>
      <w:r>
        <w:rPr>
          <w:rFonts w:hint="default" w:ascii="Times New Roman" w:hAnsi="Times New Roman" w:eastAsia="仿宋_GB2312" w:cs="Times New Roman"/>
          <w:b w:val="0"/>
          <w:bCs/>
          <w:color w:val="auto"/>
          <w:sz w:val="32"/>
          <w:szCs w:val="32"/>
          <w:highlight w:val="none"/>
          <w:u w:val="none"/>
          <w:lang w:val="en-US" w:eastAsia="zh-CN"/>
        </w:rPr>
        <w:t>陕西金隅冀东水泥经贸有限公司、</w:t>
      </w:r>
      <w:r>
        <w:rPr>
          <w:rFonts w:hint="default" w:ascii="Times New Roman" w:hAnsi="Times New Roman" w:eastAsia="仿宋_GB2312" w:cs="Times New Roman"/>
          <w:b w:val="0"/>
          <w:bCs/>
          <w:color w:val="auto"/>
          <w:sz w:val="32"/>
          <w:szCs w:val="32"/>
          <w:u w:val="none"/>
          <w:lang w:val="en-US" w:eastAsia="zh-CN"/>
        </w:rPr>
        <w:t>冀东海德堡（泾阳）水泥有限公司、冀东海德堡（扶风）水泥有限公司具有高度的关联关系。一是从法律关系看，3家公司均为同一母公司控股或持股，</w:t>
      </w:r>
      <w:r>
        <w:rPr>
          <w:rFonts w:hint="default" w:ascii="Times New Roman" w:hAnsi="Times New Roman" w:eastAsia="仿宋_GB2312" w:cs="Times New Roman"/>
          <w:color w:val="auto"/>
          <w:spacing w:val="0"/>
          <w:sz w:val="32"/>
          <w:szCs w:val="32"/>
          <w:shd w:val="clear" w:color="auto" w:fill="FFFFFF"/>
          <w:lang w:val="en-US" w:eastAsia="zh-CN"/>
        </w:rPr>
        <w:t>在股权方面具有关联关系</w:t>
      </w:r>
      <w:r>
        <w:rPr>
          <w:rFonts w:hint="default" w:ascii="Times New Roman" w:hAnsi="Times New Roman" w:eastAsia="仿宋_GB2312" w:cs="Times New Roman"/>
          <w:b w:val="0"/>
          <w:bCs/>
          <w:color w:val="auto"/>
          <w:sz w:val="32"/>
          <w:szCs w:val="32"/>
          <w:u w:val="none"/>
          <w:lang w:val="en-US" w:eastAsia="zh-CN"/>
        </w:rPr>
        <w:t>。二是从经营管理看，3家公司在陕西共同经营盾石牌商标水泥，所有</w:t>
      </w:r>
      <w:r>
        <w:rPr>
          <w:rFonts w:hint="default" w:ascii="Times New Roman" w:hAnsi="Times New Roman" w:eastAsia="仿宋_GB2312" w:cs="Times New Roman"/>
          <w:bCs/>
          <w:color w:val="000000"/>
          <w:sz w:val="32"/>
          <w:szCs w:val="32"/>
          <w:highlight w:val="none"/>
          <w:lang w:val="en-US" w:eastAsia="zh-CN"/>
        </w:rPr>
        <w:t>水泥经营销售业务均由陕西金隅冀东水泥经贸有限公司负责。三是从涉案行为看，陕西金隅冀东水泥经贸有限公司</w:t>
      </w:r>
      <w:r>
        <w:rPr>
          <w:rFonts w:hint="eastAsia" w:ascii="Times New Roman" w:hAnsi="Times New Roman" w:eastAsia="仿宋_GB2312" w:cs="Times New Roman"/>
          <w:bCs/>
          <w:color w:val="000000"/>
          <w:sz w:val="32"/>
          <w:szCs w:val="32"/>
          <w:highlight w:val="none"/>
          <w:lang w:val="en-US" w:eastAsia="zh-CN"/>
        </w:rPr>
        <w:t>有关负责人直接</w:t>
      </w:r>
      <w:r>
        <w:rPr>
          <w:rFonts w:hint="default" w:ascii="Times New Roman" w:hAnsi="Times New Roman" w:eastAsia="仿宋_GB2312" w:cs="Times New Roman"/>
          <w:bCs/>
          <w:color w:val="000000"/>
          <w:sz w:val="32"/>
          <w:szCs w:val="32"/>
          <w:highlight w:val="none"/>
          <w:lang w:val="en-US" w:eastAsia="zh-CN"/>
        </w:rPr>
        <w:t>参与垄断协议</w:t>
      </w:r>
      <w:r>
        <w:rPr>
          <w:rFonts w:hint="eastAsia" w:ascii="Times New Roman" w:hAnsi="Times New Roman" w:eastAsia="仿宋_GB2312" w:cs="Times New Roman"/>
          <w:bCs/>
          <w:color w:val="000000"/>
          <w:sz w:val="32"/>
          <w:szCs w:val="32"/>
          <w:highlight w:val="none"/>
          <w:lang w:val="en-US" w:eastAsia="zh-CN"/>
        </w:rPr>
        <w:t>的</w:t>
      </w:r>
      <w:r>
        <w:rPr>
          <w:rFonts w:hint="default" w:ascii="Times New Roman" w:hAnsi="Times New Roman" w:eastAsia="仿宋_GB2312" w:cs="Times New Roman"/>
          <w:bCs/>
          <w:color w:val="000000"/>
          <w:sz w:val="32"/>
          <w:szCs w:val="32"/>
          <w:highlight w:val="none"/>
          <w:lang w:val="en-US" w:eastAsia="zh-CN"/>
        </w:rPr>
        <w:t>达成，</w:t>
      </w:r>
      <w:r>
        <w:rPr>
          <w:rFonts w:hint="eastAsia" w:ascii="Times New Roman" w:hAnsi="Times New Roman" w:eastAsia="仿宋_GB2312" w:cs="Times New Roman"/>
          <w:bCs/>
          <w:color w:val="000000"/>
          <w:sz w:val="32"/>
          <w:szCs w:val="32"/>
          <w:highlight w:val="none"/>
          <w:lang w:val="en-US" w:eastAsia="zh-CN"/>
        </w:rPr>
        <w:t>3家公司</w:t>
      </w:r>
      <w:r>
        <w:rPr>
          <w:rFonts w:hint="default" w:ascii="Times New Roman" w:hAnsi="Times New Roman" w:eastAsia="仿宋_GB2312" w:cs="Times New Roman"/>
          <w:bCs/>
          <w:color w:val="000000"/>
          <w:sz w:val="32"/>
          <w:szCs w:val="32"/>
          <w:highlight w:val="none"/>
          <w:lang w:val="en-US" w:eastAsia="zh-CN"/>
        </w:rPr>
        <w:t>共同实施垄断协议。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sz w:val="32"/>
          <w:szCs w:val="32"/>
          <w:highlight w:val="none"/>
          <w:lang w:val="en-US" w:eastAsia="zh-CN"/>
        </w:rPr>
        <w:t>基于当事人之间的上述关联关系，本局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根据垄断行为的决策和实施主体，确定</w:t>
      </w:r>
      <w:r>
        <w:rPr>
          <w:rFonts w:hint="default" w:ascii="Times New Roman" w:hAnsi="Times New Roman" w:eastAsia="仿宋_GB2312" w:cs="Times New Roman"/>
          <w:bCs/>
          <w:color w:val="000000"/>
          <w:sz w:val="32"/>
          <w:szCs w:val="32"/>
          <w:highlight w:val="none"/>
          <w:u w:val="none"/>
          <w:lang w:val="en-US" w:eastAsia="zh-CN"/>
        </w:rPr>
        <w:t>陕西金隅冀东水泥经贸有限公司、冀东海德堡（泾阳）水泥有限公司、冀东海德堡（扶凤）水泥有限公司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为本案应当承担法律责任的经营者，共同为本案的当事人。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shd w:val="clear" w:color="auto" w:fill="FFFFFF"/>
          <w:lang w:val="en-US" w:eastAsia="zh-CN"/>
          <w14:textFill>
            <w14:solidFill>
              <w14:schemeClr w14:val="tx1"/>
            </w14:solidFill>
          </w14:textFill>
        </w:rPr>
        <w:t>二、案件来源及调查经过</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2019年5月，本局从多个途径收到反映陕西省水泥协会组织本行业企业联合涨价的举报。经初步核查后，2019年7月起，本局依据《中华人民共和国反垄断法》（以下简称</w:t>
      </w:r>
      <w:r>
        <w:rPr>
          <w:rFonts w:hint="default" w:ascii="Times New Roman" w:hAnsi="Times New Roman" w:eastAsia="仿宋_GB2312" w:cs="Times New Roman"/>
          <w:color w:val="000000" w:themeColor="text1"/>
          <w:spacing w:val="8"/>
          <w:sz w:val="32"/>
          <w:szCs w:val="32"/>
          <w:highlight w:val="none"/>
          <w:shd w:val="clear" w:color="auto" w:fill="FFFFFF"/>
          <w14:textFill>
            <w14:solidFill>
              <w14:schemeClr w14:val="tx1"/>
            </w14:solidFill>
          </w14:textFill>
        </w:rPr>
        <w:t>《反垄断法》</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），对</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经营尧柏、盾石、声威、华山、海螺等5个水泥商标（按照行业惯例，以下简称5个水泥品牌，</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依序</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分别为尧柏、冀东、声威、生态、海螺水泥）的13家企业及陕西省水泥协会正式立案调查</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。涉案企业</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包括：尧柏特种水泥集团有限公司、陕西金隅冀东水泥经贸有限公司、冀东海德堡（泾阳）水泥有限公司、冀东海德堡（扶风）水泥有限公司、陕西声威建材集团有限公司、铜川声威建材有限责任公司、陕西生态水泥股份有限公司、礼泉海螺水泥有限责任公司、乾县海螺水泥有限责任公司、陕西铜川凤凰建材有限公司、宝鸡市众喜金陵河水泥有限公司、宝鸡众喜凤凰山水泥有限公司和千阳海螺水泥有限责任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期间，本局进行了现场检查、询问调查，提取了相关证据材料，对本案涉及的事实和定性召开专家会进行研究论证。案件调查过程中，本局多次听取当事人意见。2021年10月13日，本局依法向当事人送达了《行政处罚告知书》，</w:t>
      </w:r>
      <w:r>
        <w:rPr>
          <w:rFonts w:hint="default" w:ascii="Times New Roman" w:hAnsi="Times New Roman" w:eastAsia="仿宋_GB2312" w:cs="Times New Roman"/>
          <w:color w:val="000000"/>
          <w:sz w:val="32"/>
          <w:szCs w:val="32"/>
        </w:rPr>
        <w:t>告知</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违反《反垄断法》的事实、拟作出的行政处罚决定、理由和依据，以及</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依法享</w:t>
      </w:r>
      <w:r>
        <w:rPr>
          <w:rFonts w:hint="default" w:ascii="Times New Roman" w:hAnsi="Times New Roman" w:eastAsia="仿宋_GB2312" w:cs="Times New Roman"/>
          <w:sz w:val="32"/>
          <w:szCs w:val="32"/>
        </w:rPr>
        <w:t>有陈述、申辩和要求举行听证的权利</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。11月24日、25日，本局依当事人申请举行听证会，</w:t>
      </w:r>
      <w:r>
        <w:rPr>
          <w:rFonts w:hint="default" w:ascii="Times New Roman" w:hAnsi="Times New Roman" w:eastAsia="仿宋_GB2312" w:cs="Times New Roman"/>
          <w:color w:val="000000"/>
          <w:sz w:val="32"/>
          <w:szCs w:val="32"/>
          <w:lang w:val="en-US" w:eastAsia="zh-CN"/>
        </w:rPr>
        <w:t>履行了</w:t>
      </w:r>
      <w:r>
        <w:rPr>
          <w:rFonts w:hint="default" w:ascii="Times New Roman" w:hAnsi="Times New Roman" w:eastAsia="仿宋_GB2312" w:cs="Times New Roman"/>
          <w:color w:val="000000"/>
          <w:sz w:val="32"/>
          <w:szCs w:val="32"/>
        </w:rPr>
        <w:t>申辩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质证</w:t>
      </w:r>
      <w:r>
        <w:rPr>
          <w:rFonts w:hint="default" w:ascii="Times New Roman" w:hAnsi="Times New Roman" w:eastAsia="仿宋_GB2312" w:cs="Times New Roman"/>
          <w:color w:val="000000"/>
          <w:sz w:val="32"/>
          <w:szCs w:val="32"/>
          <w:lang w:val="en-US" w:eastAsia="zh-CN"/>
        </w:rPr>
        <w:t>等听证程序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针对当事人提出的</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陈述与申辩意见</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，本局经过国务院反垄断委员会专家咨询组成员等专家论证研究，综合考虑案件具体情况做出最终处理决定。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三、违法</w:t>
      </w:r>
      <w:r>
        <w:rPr>
          <w:rFonts w:hint="default" w:ascii="Times New Roman" w:hAnsi="Times New Roman" w:eastAsia="黑体" w:cs="Times New Roman"/>
          <w:b w:val="0"/>
          <w:bCs/>
          <w:color w:val="auto"/>
          <w:sz w:val="32"/>
          <w:szCs w:val="32"/>
          <w:highlight w:val="none"/>
          <w:u w:val="none"/>
        </w:rPr>
        <w:t>事实</w:t>
      </w:r>
      <w:r>
        <w:rPr>
          <w:rFonts w:hint="default" w:ascii="Times New Roman" w:hAnsi="Times New Roman" w:eastAsia="黑体" w:cs="Times New Roman"/>
          <w:b w:val="0"/>
          <w:bCs/>
          <w:color w:val="auto"/>
          <w:sz w:val="32"/>
          <w:szCs w:val="32"/>
          <w:highlight w:val="none"/>
          <w:u w:val="none"/>
          <w:lang w:val="en-US" w:eastAsia="zh-CN"/>
        </w:rPr>
        <w:t>及相关证据</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相关市场界定</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1.相关商品市场为水泥。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水泥是一种粉状水硬性无机胶凝材料，加水搅拌后成浆体，</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能在空气中将材料牢固地胶结在一起。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水泥作为一种重要的建筑材料，长期以来广泛应用于土木建筑、水利、国防等工程，目前其他建筑材料与其不具有紧密替代关系，水泥构成独立的商品市场。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2.相关地域市场为陕西省关中区域。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本案中，13家涉案企业都是销售水泥的经营者，销售区域主要分布在陕西省关中区域的西安、宝鸡、咸阳、铜川、渭南等5市。水泥受运输成本等因素的限制</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，一般运输距离为150公里左右，如果超出运输范围产品将不具有经济性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，受地理区域限制，其他地域与其不具有紧密替代关系，以上陕西省关中区域构成独立的相关市场。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（二）当事人和其他10家涉案企业是具有竞争关系的经营者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auto"/>
          <w:spacing w:val="0"/>
          <w:sz w:val="32"/>
          <w:szCs w:val="32"/>
          <w:shd w:val="clear" w:color="auto" w:fill="FFFFFF"/>
          <w:lang w:val="en-US" w:eastAsia="zh-CN"/>
        </w:rPr>
        <w:t>经查明，</w:t>
      </w:r>
      <w:r>
        <w:rPr>
          <w:rFonts w:hint="default" w:ascii="Times New Roman" w:hAnsi="Times New Roman" w:eastAsia="仿宋_GB2312" w:cs="Times New Roman"/>
          <w:b w:val="0"/>
          <w:bCs/>
          <w:color w:val="auto"/>
          <w:sz w:val="32"/>
          <w:szCs w:val="32"/>
          <w:highlight w:val="none"/>
          <w:u w:val="none"/>
          <w:lang w:val="en-US" w:eastAsia="zh-CN"/>
        </w:rPr>
        <w:t>当事人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与其他10家涉案企业的主营业务均包括水泥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销售，在陕西省关中区域是具有竞争关系的经营者</w:t>
      </w:r>
      <w:r>
        <w:rPr>
          <w:rFonts w:hint="default" w:ascii="Times New Roman" w:hAnsi="Times New Roman" w:eastAsia="仿宋_GB2312" w:cs="Times New Roman"/>
          <w:color w:val="auto"/>
          <w:spacing w:val="0"/>
          <w:sz w:val="32"/>
          <w:szCs w:val="32"/>
          <w:shd w:val="clear" w:color="auto" w:fill="FFFFFF"/>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jc w:val="both"/>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（三）当事人在陕西省水泥协会的组织下或自发与具有竞争关系的经营者达成</w:t>
      </w:r>
      <w:r>
        <w:rPr>
          <w:rFonts w:hint="eastAsia"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固定或者变更商品价格</w:t>
      </w:r>
      <w:r>
        <w:rPr>
          <w:rFonts w:hint="eastAsia"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经查明，2017年7月至2019年3月，包括当事人在内的5家水泥品牌</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有关负责人在</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陕西</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省水泥协会组织或自发组织的行业会议、聚会、微信聊天等活动中，至少4次商议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水泥产品的销售价格，并就统一上调水泥</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销售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价格的时间和幅度达成一致。其中：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2018年10月11日，声威水泥有关负责人召集，尧柏水泥有关负责人、冀东水泥有关负责人、声威水泥有关负责人</w:t>
      </w:r>
      <w:r>
        <w:rPr>
          <w:rFonts w:hint="default" w:ascii="Times New Roman" w:hAnsi="Times New Roman" w:eastAsia="仿宋_GB2312" w:cs="Times New Roman"/>
          <w:bCs/>
          <w:color w:val="000000" w:themeColor="text1"/>
          <w:spacing w:val="0"/>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海螺水泥有关负责人、生态水泥有关负责人在西安市凤城八路附近茶秀商谈价格调整事宜，最终参加人员一致达成共识：从10月13日起各品种水泥上调50元/吨。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2018年10月29日，海螺水泥有关负责人召集，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十一路附近茶秀商谈价格上调事宜，并达成以下共识：从10月30日起各</w:t>
      </w:r>
      <w:r>
        <w:rPr>
          <w:rFonts w:hint="default" w:ascii="Times New Roman" w:hAnsi="Times New Roman" w:eastAsia="仿宋_GB2312" w:cs="Times New Roman"/>
          <w:b w:val="0"/>
          <w:bCs/>
          <w:color w:val="000000" w:themeColor="text1"/>
          <w:spacing w:val="0"/>
          <w:sz w:val="32"/>
          <w:szCs w:val="32"/>
          <w:highlight w:val="none"/>
          <w:shd w:val="clear"/>
          <w:lang w:val="en-US" w:eastAsia="zh-CN"/>
          <w14:textFill>
            <w14:solidFill>
              <w14:schemeClr w14:val="tx1"/>
            </w14:solidFill>
          </w14:textFill>
        </w:rPr>
        <w:t>品</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种水泥上调30元/吨。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7日，声威水泥有关负责人召集，尧柏水泥有关负责人、冀东水泥有关负责人、声威水泥有关负责人、海螺水泥有关负责人、生态水泥有关负责人在西安市凤城九路附近茶秀商谈价格上调事宜，并达成以下共识：从3月9日起各品种水泥取消冬季优惠政策，恢复原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2019年3月22日，生态水泥有关负责人召集，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八路附近茶秀商谈价格上调事宜，并达成以下共识：从3月23日起各品种水泥上调20元/吨。</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（四）当事人通过与其他涉案企业共同上调水泥产品价格实施了垄断协议</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经查明，包括当事人在内的5个品牌有关负责人通过多种方式商议水泥销售价格后，各涉案企业至少4次分别在统一</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时间以书面或口头方式向下游水泥客户发布涨价通知，开始实施统一时间，相同或相近幅度的涨价行为。</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涉案企业部分统一涨价行为（</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单位：元/吨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w:t>
      </w:r>
    </w:p>
    <w:tbl>
      <w:tblPr>
        <w:tblStyle w:val="6"/>
        <w:tblW w:w="8562" w:type="dxa"/>
        <w:jc w:val="center"/>
        <w:tblLayout w:type="fixed"/>
        <w:tblCellMar>
          <w:top w:w="0" w:type="dxa"/>
          <w:left w:w="0" w:type="dxa"/>
          <w:bottom w:w="0" w:type="dxa"/>
          <w:right w:w="0" w:type="dxa"/>
        </w:tblCellMar>
      </w:tblPr>
      <w:tblGrid>
        <w:gridCol w:w="881"/>
        <w:gridCol w:w="3420"/>
        <w:gridCol w:w="1130"/>
        <w:gridCol w:w="1144"/>
        <w:gridCol w:w="937"/>
        <w:gridCol w:w="1050"/>
      </w:tblGrid>
      <w:tr>
        <w:tblPrEx>
          <w:tblCellMar>
            <w:top w:w="0" w:type="dxa"/>
            <w:left w:w="0" w:type="dxa"/>
            <w:bottom w:w="0" w:type="dxa"/>
            <w:right w:w="0" w:type="dxa"/>
          </w:tblCellMar>
        </w:tblPrEx>
        <w:trPr>
          <w:trHeight w:val="874"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品牌</w:t>
            </w:r>
          </w:p>
        </w:tc>
        <w:tc>
          <w:tcPr>
            <w:tcW w:w="34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企业名称</w:t>
            </w:r>
          </w:p>
        </w:tc>
        <w:tc>
          <w:tcPr>
            <w:tcW w:w="42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时间/涨价幅度</w:t>
            </w:r>
          </w:p>
        </w:tc>
      </w:tr>
      <w:tr>
        <w:tblPrEx>
          <w:tblCellMar>
            <w:top w:w="0" w:type="dxa"/>
            <w:left w:w="0" w:type="dxa"/>
            <w:bottom w:w="0" w:type="dxa"/>
            <w:right w:w="0" w:type="dxa"/>
          </w:tblCellMar>
        </w:tblPrEx>
        <w:trPr>
          <w:trHeight w:val="874"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p>
        </w:tc>
        <w:tc>
          <w:tcPr>
            <w:tcW w:w="34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10月13日</w:t>
            </w:r>
          </w:p>
        </w:tc>
        <w:tc>
          <w:tcPr>
            <w:tcW w:w="114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10月30日</w:t>
            </w:r>
          </w:p>
        </w:tc>
        <w:tc>
          <w:tcPr>
            <w:tcW w:w="9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3月9日</w:t>
            </w:r>
          </w:p>
        </w:tc>
        <w:tc>
          <w:tcPr>
            <w:tcW w:w="10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3月23日</w:t>
            </w:r>
          </w:p>
        </w:tc>
      </w:tr>
      <w:tr>
        <w:tblPrEx>
          <w:tblCellMar>
            <w:top w:w="0" w:type="dxa"/>
            <w:left w:w="0" w:type="dxa"/>
            <w:bottom w:w="0" w:type="dxa"/>
            <w:right w:w="0" w:type="dxa"/>
          </w:tblCellMar>
        </w:tblPrEx>
        <w:trPr>
          <w:trHeight w:val="555"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尧柏特种水泥集团有限公司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冀东</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陕西金隅冀东水泥经贸有限公司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冀东海德堡（泾阳）水泥有限公司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冀东海德堡（扶风）水泥有限公司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声威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陕西声威建材集团有限公司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铜川声威建材有限责任公司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552"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生态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陕西生态水泥股份有限公司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3.26</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50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海螺</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礼泉海螺水泥有限责任公司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乾县海螺水泥有限责任公司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3.24</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陕西铜川凤凰建材有限公司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40"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宝鸡市众喜金陵河水泥有限公司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宝鸡众喜凤凰山水泥有限公司</w:t>
            </w:r>
          </w:p>
        </w:tc>
        <w:tc>
          <w:tcPr>
            <w:tcW w:w="113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2"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千阳海螺水泥有限责任公司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3.28</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u w:val="none"/>
          <w14:textFill>
            <w14:solidFill>
              <w14:schemeClr w14:val="tx1"/>
            </w14:solidFill>
          </w14:textFill>
        </w:rPr>
      </w:pPr>
      <w:r>
        <w:rPr>
          <w:rFonts w:hint="default" w:ascii="Times New Roman" w:hAnsi="Times New Roman" w:eastAsia="黑体" w:cs="Times New Roman"/>
          <w:b w:val="0"/>
          <w:bCs/>
          <w:color w:val="000000" w:themeColor="text1"/>
          <w:sz w:val="32"/>
          <w:szCs w:val="32"/>
          <w:u w:val="none"/>
          <w:lang w:val="en-US" w:eastAsia="zh-CN"/>
          <w14:textFill>
            <w14:solidFill>
              <w14:schemeClr w14:val="tx1"/>
            </w14:solidFill>
          </w14:textFill>
        </w:rPr>
        <w:t>四、当事人陈述情况</w:t>
      </w:r>
      <w:r>
        <w:rPr>
          <w:rFonts w:hint="default" w:ascii="Times New Roman" w:hAnsi="Times New Roman" w:eastAsia="仿宋_GB2312" w:cs="Times New Roman"/>
          <w:b w:val="0"/>
          <w:bCs/>
          <w:color w:val="000000" w:themeColor="text1"/>
          <w:sz w:val="32"/>
          <w:szCs w:val="32"/>
          <w:u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当事人向本局主张其并未违反《反垄断法》</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一是水泥企业综合成本（原燃材料、运输、固定费用摊销、环保投入）大幅上涨</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二是当事人及涉案企业的水泥价格浮动并未完全一致，属于市场行为的正常反应</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三是水泥价格涨跌属于市场的合理调整，不涉及对消费者利益侵害</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四是当事人有权根据市场变化进行价格调整，与涉案企业之间并未达成垄断协议，不存在垄断行为的主观故意。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本局经研究认为，当事人上述解释不能成为合法理由。一是成本上升是水泥企业调价的考虑因素</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，但</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不是当事人实施垄断行为的正当理由</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二是当事人</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和其他</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涉案企业</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的</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水泥最终执行销售价格虽然存在差异，但水泥价格的上调幅度和上调时间基本一致，且在上调水泥价格之前存在商议价格行为，此时的一致性行为不属于市场行为的正常反应</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三是水泥价格属于市场调节价格范畴，本应由水泥企业独立决策进行调整，本案中，当事人在上调水泥价格前多次与具有竞争关系的经营者进行商议沟通，并且在随后统一实施了上调价格的行为，人为干预市场竞争机制发挥资源配置和调节价格的作用，不合理抬高水泥销售价格导致终端消费者利益受损</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证据显示，</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当事人与涉案企业</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达成垄断协议并实施了该垄断协议，</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同时，根据《反垄断法》第十三条规定，主观故意不是认定垄断行为的构成要件。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此外，当事人在听证会上主要提出</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了四个方面的陈述</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意见：一是对于涉案主体认定有异议。二是认定达成垄断协议的证据不充分。三是认定实施垄断协议的证据不够充分，</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行政处罚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告知书中仅列明了各当事人的挂牌价，而挂牌价与实际成交价并不相同，不能以挂牌价认定当事人实施了垄断协议。四是听证会质证形式存在问题，未充分向当事人展示证据原件。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本局经研究认为，当事人上述意见不能成立。一是按照《反垄断法》和《中华人民共和国行政处罚法》（以下简称为《行政处罚法》）的规定，违法行为主体承担相应的法律责任</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本案结合</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相关</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证据，从法律关系、经营管理、涉案行为等维度进行考量，根据垄断行为的决策和实施主体确定当事人和其他涉案单位为本案的违法主体。二是关于达成垄断协议的认定，本案有询问笔录、微信聊天截图、会议纪要、工作报告等证据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三是关于实施垄断协议的认定，本案</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认定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实施垄断协议有当事人</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及其他涉案企业的</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调价统计表、调价审批单、调价函、调价协议、水泥销售结算单、销售发票等证据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符合《反垄断法》关于认定实施</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垄断协议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的规定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四是关于听证会</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质证</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形式，</w:t>
      </w:r>
      <w:r>
        <w:rPr>
          <w:rFonts w:hint="eastAsia" w:ascii="Times New Roman" w:hAnsi="Times New Roman" w:eastAsia="仿宋_GB2312" w:cs="Times New Roman"/>
          <w:bCs/>
          <w:color w:val="000000" w:themeColor="text1"/>
          <w:sz w:val="32"/>
          <w:szCs w:val="32"/>
          <w14:textFill>
            <w14:solidFill>
              <w14:schemeClr w14:val="tx1"/>
            </w14:solidFill>
          </w14:textFill>
        </w:rPr>
        <w:t>本局依据《行政处罚法》第六十四条等相关规定举行了听证会，</w:t>
      </w:r>
      <w:r>
        <w:rPr>
          <w:rFonts w:ascii="Times New Roman" w:hAnsi="Times New Roman" w:eastAsia="仿宋_GB2312" w:cs="Times New Roman"/>
          <w:bCs/>
          <w:color w:val="000000" w:themeColor="text1"/>
          <w:sz w:val="32"/>
          <w:szCs w:val="32"/>
          <w14:textFill>
            <w14:solidFill>
              <w14:schemeClr w14:val="tx1"/>
            </w14:solidFill>
          </w14:textFill>
        </w:rPr>
        <w:t>在听证会阶段向当事人展示</w:t>
      </w:r>
      <w:r>
        <w:rPr>
          <w:rFonts w:hint="eastAsia" w:ascii="Times New Roman" w:hAnsi="Times New Roman" w:eastAsia="仿宋_GB2312" w:cs="Times New Roman"/>
          <w:bCs/>
          <w:color w:val="000000" w:themeColor="text1"/>
          <w:sz w:val="32"/>
          <w:szCs w:val="32"/>
          <w14:textFill>
            <w14:solidFill>
              <w14:schemeClr w14:val="tx1"/>
            </w14:solidFill>
          </w14:textFill>
        </w:rPr>
        <w:t>了作为定案依据</w:t>
      </w:r>
      <w:r>
        <w:rPr>
          <w:rFonts w:ascii="Times New Roman" w:hAnsi="Times New Roman" w:eastAsia="仿宋_GB2312" w:cs="Times New Roman"/>
          <w:bCs/>
          <w:color w:val="000000" w:themeColor="text1"/>
          <w:sz w:val="32"/>
          <w:szCs w:val="32"/>
          <w14:textFill>
            <w14:solidFill>
              <w14:schemeClr w14:val="tx1"/>
            </w14:solidFill>
          </w14:textFill>
        </w:rPr>
        <w:t>的证据</w:t>
      </w:r>
      <w:r>
        <w:rPr>
          <w:rFonts w:hint="eastAsia" w:ascii="Times New Roman" w:hAnsi="Times New Roman" w:eastAsia="仿宋_GB2312" w:cs="Times New Roman"/>
          <w:bCs/>
          <w:color w:val="000000" w:themeColor="text1"/>
          <w:sz w:val="32"/>
          <w:szCs w:val="32"/>
          <w14:textFill>
            <w14:solidFill>
              <w14:schemeClr w14:val="tx1"/>
            </w14:solidFill>
          </w14:textFill>
        </w:rPr>
        <w:t>，并逐一说明了证明目的，充分听取了当事人的陈述与申辩意见</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听证会程序符合法律规定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上述事实，有以下证据证明：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b w:val="0"/>
          <w:bCs w:val="0"/>
          <w:color w:val="auto"/>
          <w:spacing w:val="8"/>
          <w:sz w:val="32"/>
          <w:szCs w:val="32"/>
          <w:shd w:val="clear" w:color="auto" w:fill="FFFFFF"/>
          <w:lang w:val="en-US" w:eastAsia="zh-CN"/>
        </w:rPr>
      </w:pPr>
      <w:r>
        <w:rPr>
          <w:rFonts w:hint="default" w:ascii="Times New Roman" w:hAnsi="Times New Roman" w:eastAsia="仿宋_GB2312" w:cs="Times New Roman"/>
          <w:b w:val="0"/>
          <w:bCs w:val="0"/>
          <w:color w:val="auto"/>
          <w:spacing w:val="8"/>
          <w:sz w:val="32"/>
          <w:szCs w:val="32"/>
          <w:shd w:val="clear" w:color="auto" w:fill="FFFFFF"/>
          <w:lang w:val="en-US" w:eastAsia="zh-CN"/>
        </w:rPr>
        <w:t>第一组证据：当事人</w:t>
      </w:r>
      <w:r>
        <w:rPr>
          <w:rFonts w:hint="eastAsia" w:ascii="Times New Roman" w:hAnsi="Times New Roman" w:eastAsia="仿宋_GB2312" w:cs="Times New Roman"/>
          <w:b w:val="0"/>
          <w:bCs w:val="0"/>
          <w:color w:val="auto"/>
          <w:spacing w:val="8"/>
          <w:sz w:val="32"/>
          <w:szCs w:val="32"/>
          <w:shd w:val="clear" w:color="auto" w:fill="FFFFFF"/>
          <w:lang w:val="en-US" w:eastAsia="zh-CN"/>
        </w:rPr>
        <w:t>的</w:t>
      </w:r>
      <w:r>
        <w:rPr>
          <w:rFonts w:hint="default" w:ascii="Times New Roman" w:hAnsi="Times New Roman" w:eastAsia="仿宋_GB2312" w:cs="Times New Roman"/>
          <w:b w:val="0"/>
          <w:bCs w:val="0"/>
          <w:color w:val="auto"/>
          <w:spacing w:val="8"/>
          <w:sz w:val="32"/>
          <w:szCs w:val="32"/>
          <w:shd w:val="clear" w:color="auto" w:fill="FFFFFF"/>
          <w:lang w:val="en-US" w:eastAsia="zh-CN"/>
        </w:rPr>
        <w:t>《营业执照》等相关证照；《金隅冀东陕西区域股权及运作模式说明》、《关于金隅冀东陕西区域销售主体的说明》、《金隅冀东水泥陕西区域机构简介及收入情况》、《公司登记基本情况》；2017、2018年度财务报表；现场笔录等。证明当事人主体资格、与其他</w:t>
      </w:r>
      <w:r>
        <w:rPr>
          <w:rFonts w:hint="eastAsia" w:ascii="Times New Roman" w:hAnsi="Times New Roman" w:eastAsia="仿宋_GB2312" w:cs="Times New Roman"/>
          <w:b w:val="0"/>
          <w:bCs w:val="0"/>
          <w:color w:val="auto"/>
          <w:spacing w:val="8"/>
          <w:sz w:val="32"/>
          <w:szCs w:val="32"/>
          <w:shd w:val="clear" w:color="auto" w:fill="FFFFFF"/>
          <w:lang w:val="en-US" w:eastAsia="zh-CN"/>
        </w:rPr>
        <w:t>涉案</w:t>
      </w:r>
      <w:r>
        <w:rPr>
          <w:rFonts w:hint="default" w:ascii="Times New Roman" w:hAnsi="Times New Roman" w:eastAsia="仿宋_GB2312" w:cs="Times New Roman"/>
          <w:b w:val="0"/>
          <w:bCs w:val="0"/>
          <w:color w:val="auto"/>
          <w:spacing w:val="8"/>
          <w:sz w:val="32"/>
          <w:szCs w:val="32"/>
          <w:shd w:val="clear" w:color="auto" w:fill="FFFFFF"/>
          <w:lang w:val="en-US" w:eastAsia="zh-CN"/>
        </w:rPr>
        <w:t>企业具有竞争关系及相关年度销售额。</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b w:val="0"/>
          <w:bCs w:val="0"/>
          <w:color w:val="auto"/>
          <w:spacing w:val="8"/>
          <w:sz w:val="32"/>
          <w:szCs w:val="32"/>
          <w:shd w:val="clear" w:color="auto" w:fill="FFFFFF"/>
          <w:lang w:val="en-US" w:eastAsia="zh-CN"/>
        </w:rPr>
      </w:pPr>
      <w:r>
        <w:rPr>
          <w:rFonts w:hint="default" w:ascii="Times New Roman" w:hAnsi="Times New Roman" w:eastAsia="仿宋_GB2312" w:cs="Times New Roman"/>
          <w:b w:val="0"/>
          <w:bCs w:val="0"/>
          <w:color w:val="auto"/>
          <w:spacing w:val="8"/>
          <w:sz w:val="32"/>
          <w:szCs w:val="32"/>
          <w:shd w:val="clear" w:color="auto" w:fill="FFFFFF"/>
          <w:lang w:val="en-US" w:eastAsia="zh-CN"/>
        </w:rPr>
        <w:t>第二组证据：当事人相关企业负责人</w:t>
      </w:r>
      <w:r>
        <w:rPr>
          <w:rFonts w:hint="eastAsia" w:ascii="Times New Roman" w:hAnsi="Times New Roman" w:eastAsia="仿宋_GB2312" w:cs="Times New Roman"/>
          <w:b w:val="0"/>
          <w:bCs w:val="0"/>
          <w:color w:val="auto"/>
          <w:spacing w:val="8"/>
          <w:sz w:val="32"/>
          <w:szCs w:val="32"/>
          <w:shd w:val="clear" w:color="auto" w:fill="FFFFFF"/>
          <w:lang w:val="en-US" w:eastAsia="zh-CN"/>
        </w:rPr>
        <w:t>的</w:t>
      </w:r>
      <w:r>
        <w:rPr>
          <w:rFonts w:hint="default" w:ascii="Times New Roman" w:hAnsi="Times New Roman" w:eastAsia="仿宋_GB2312" w:cs="Times New Roman"/>
          <w:b w:val="0"/>
          <w:bCs w:val="0"/>
          <w:color w:val="auto"/>
          <w:spacing w:val="8"/>
          <w:sz w:val="32"/>
          <w:szCs w:val="32"/>
          <w:shd w:val="clear" w:color="auto" w:fill="FFFFFF"/>
          <w:lang w:val="en-US" w:eastAsia="zh-CN"/>
        </w:rPr>
        <w:t>询问调查笔录、《子公司领导班子副职前三年个人工作总结》、《子公司领导班子副职前三年个人工作实绩》、《会议记录》</w:t>
      </w:r>
      <w:r>
        <w:rPr>
          <w:rFonts w:hint="eastAsia" w:ascii="Times New Roman" w:hAnsi="Times New Roman" w:eastAsia="仿宋_GB2312" w:cs="Times New Roman"/>
          <w:b w:val="0"/>
          <w:bCs w:val="0"/>
          <w:color w:val="auto"/>
          <w:spacing w:val="8"/>
          <w:sz w:val="32"/>
          <w:szCs w:val="32"/>
          <w:shd w:val="clear" w:color="auto" w:fill="FFFFFF"/>
          <w:lang w:val="en-US" w:eastAsia="zh-CN"/>
        </w:rPr>
        <w:t>；</w:t>
      </w:r>
      <w:r>
        <w:rPr>
          <w:rFonts w:hint="default" w:ascii="Times New Roman" w:hAnsi="Times New Roman" w:eastAsia="仿宋_GB2312" w:cs="Times New Roman"/>
          <w:b w:val="0"/>
          <w:bCs w:val="0"/>
          <w:color w:val="auto"/>
          <w:spacing w:val="8"/>
          <w:sz w:val="32"/>
          <w:szCs w:val="32"/>
          <w:shd w:val="clear" w:color="auto" w:fill="FFFFFF"/>
          <w:lang w:val="en-US" w:eastAsia="zh-CN"/>
        </w:rPr>
        <w:t>冀东水泥有关负责人</w:t>
      </w:r>
      <w:r>
        <w:rPr>
          <w:rFonts w:hint="eastAsia" w:ascii="Times New Roman" w:hAnsi="Times New Roman" w:eastAsia="仿宋_GB2312" w:cs="Times New Roman"/>
          <w:b w:val="0"/>
          <w:bCs w:val="0"/>
          <w:color w:val="auto"/>
          <w:spacing w:val="8"/>
          <w:sz w:val="32"/>
          <w:szCs w:val="32"/>
          <w:shd w:val="clear" w:color="auto" w:fill="FFFFFF"/>
          <w:lang w:val="en-US" w:eastAsia="zh-CN"/>
        </w:rPr>
        <w:t>的</w:t>
      </w:r>
      <w:r>
        <w:rPr>
          <w:rFonts w:hint="default" w:ascii="Times New Roman" w:hAnsi="Times New Roman" w:eastAsia="仿宋_GB2312" w:cs="Times New Roman"/>
          <w:b w:val="0"/>
          <w:bCs w:val="0"/>
          <w:color w:val="auto"/>
          <w:spacing w:val="8"/>
          <w:sz w:val="32"/>
          <w:szCs w:val="32"/>
          <w:shd w:val="clear" w:color="auto" w:fill="FFFFFF"/>
          <w:lang w:val="en-US" w:eastAsia="zh-CN"/>
        </w:rPr>
        <w:t>微信聊天记录；其他涉案企业相关负责人</w:t>
      </w:r>
      <w:r>
        <w:rPr>
          <w:rFonts w:hint="eastAsia" w:ascii="Times New Roman" w:hAnsi="Times New Roman" w:eastAsia="仿宋_GB2312" w:cs="Times New Roman"/>
          <w:b w:val="0"/>
          <w:bCs w:val="0"/>
          <w:color w:val="auto"/>
          <w:spacing w:val="8"/>
          <w:sz w:val="32"/>
          <w:szCs w:val="32"/>
          <w:shd w:val="clear" w:color="auto" w:fill="FFFFFF"/>
          <w:lang w:val="en-US" w:eastAsia="zh-CN"/>
        </w:rPr>
        <w:t>的</w:t>
      </w:r>
      <w:r>
        <w:rPr>
          <w:rFonts w:hint="default" w:ascii="Times New Roman" w:hAnsi="Times New Roman" w:eastAsia="仿宋_GB2312" w:cs="Times New Roman"/>
          <w:b w:val="0"/>
          <w:bCs w:val="0"/>
          <w:color w:val="auto"/>
          <w:spacing w:val="8"/>
          <w:sz w:val="32"/>
          <w:szCs w:val="32"/>
          <w:shd w:val="clear" w:color="auto" w:fill="FFFFFF"/>
          <w:lang w:val="en-US" w:eastAsia="zh-CN"/>
        </w:rPr>
        <w:t>询问调查笔录、微信聊天记录；部分企业相关会议记录（纪要）、工作总结、情况说明等</w:t>
      </w:r>
      <w:r>
        <w:rPr>
          <w:rFonts w:hint="default" w:ascii="Times New Roman" w:hAnsi="Times New Roman" w:eastAsia="仿宋_GB2312" w:cs="Times New Roman"/>
          <w:b w:val="0"/>
          <w:bCs w:val="0"/>
          <w:color w:val="auto"/>
          <w:spacing w:val="0"/>
          <w:sz w:val="32"/>
          <w:szCs w:val="32"/>
          <w:shd w:val="clear" w:color="auto" w:fill="FFFFFF"/>
          <w:lang w:val="en-US" w:eastAsia="zh-CN"/>
        </w:rPr>
        <w:t>。</w:t>
      </w:r>
      <w:r>
        <w:rPr>
          <w:rFonts w:hint="default" w:ascii="Times New Roman" w:hAnsi="Times New Roman" w:eastAsia="仿宋_GB2312" w:cs="Times New Roman"/>
          <w:b w:val="0"/>
          <w:bCs w:val="0"/>
          <w:color w:val="auto"/>
          <w:spacing w:val="8"/>
          <w:sz w:val="32"/>
          <w:szCs w:val="32"/>
          <w:shd w:val="clear" w:color="auto" w:fill="FFFFFF"/>
          <w:lang w:val="en-US" w:eastAsia="zh-CN"/>
        </w:rPr>
        <w:t>证明当事人与其他</w:t>
      </w:r>
      <w:r>
        <w:rPr>
          <w:rFonts w:hint="eastAsia" w:ascii="Times New Roman" w:hAnsi="Times New Roman" w:eastAsia="仿宋_GB2312" w:cs="Times New Roman"/>
          <w:b w:val="0"/>
          <w:bCs w:val="0"/>
          <w:color w:val="auto"/>
          <w:spacing w:val="8"/>
          <w:sz w:val="32"/>
          <w:szCs w:val="32"/>
          <w:shd w:val="clear" w:color="auto" w:fill="FFFFFF"/>
          <w:lang w:val="en-US" w:eastAsia="zh-CN"/>
        </w:rPr>
        <w:t>涉案</w:t>
      </w:r>
      <w:r>
        <w:rPr>
          <w:rFonts w:hint="default" w:ascii="Times New Roman" w:hAnsi="Times New Roman" w:eastAsia="仿宋_GB2312" w:cs="Times New Roman"/>
          <w:b w:val="0"/>
          <w:bCs w:val="0"/>
          <w:color w:val="auto"/>
          <w:spacing w:val="8"/>
          <w:sz w:val="32"/>
          <w:szCs w:val="32"/>
          <w:shd w:val="clear" w:color="auto" w:fill="FFFFFF"/>
          <w:lang w:val="en-US" w:eastAsia="zh-CN"/>
        </w:rPr>
        <w:t>企业通过意思联络或沟通交流达成统一涨价的垄断协议。</w:t>
      </w:r>
    </w:p>
    <w:p>
      <w:pPr>
        <w:keepNext w:val="0"/>
        <w:keepLines w:val="0"/>
        <w:pageBreakBefore w:val="0"/>
        <w:kinsoku/>
        <w:overflowPunct/>
        <w:topLinePunct w:val="0"/>
        <w:autoSpaceDE/>
        <w:autoSpaceDN/>
        <w:bidi w:val="0"/>
        <w:adjustRightInd w:val="0"/>
        <w:snapToGrid w:val="0"/>
        <w:spacing w:line="560" w:lineRule="exact"/>
        <w:ind w:firstLine="704"/>
        <w:jc w:val="both"/>
        <w:textAlignment w:val="auto"/>
        <w:rPr>
          <w:rFonts w:hint="default" w:ascii="Times New Roman" w:hAnsi="Times New Roman" w:eastAsia="仿宋_GB2312" w:cs="Times New Roman"/>
          <w:b w:val="0"/>
          <w:bCs w:val="0"/>
          <w:color w:val="auto"/>
          <w:spacing w:val="8"/>
          <w:sz w:val="32"/>
          <w:szCs w:val="32"/>
          <w:shd w:val="clear" w:color="auto" w:fill="FFFFFF"/>
          <w:lang w:val="en-US" w:eastAsia="zh-CN"/>
        </w:rPr>
      </w:pPr>
      <w:r>
        <w:rPr>
          <w:rFonts w:hint="default" w:ascii="Times New Roman" w:hAnsi="Times New Roman" w:eastAsia="仿宋_GB2312" w:cs="Times New Roman"/>
          <w:b w:val="0"/>
          <w:bCs w:val="0"/>
          <w:color w:val="auto"/>
          <w:spacing w:val="8"/>
          <w:sz w:val="32"/>
          <w:szCs w:val="32"/>
          <w:shd w:val="clear" w:color="auto" w:fill="FFFFFF"/>
          <w:lang w:val="en-US" w:eastAsia="zh-CN"/>
        </w:rPr>
        <w:t>第三组证据：当事人2018年、2019年</w:t>
      </w:r>
      <w:r>
        <w:rPr>
          <w:rFonts w:hint="eastAsia" w:ascii="Times New Roman" w:hAnsi="Times New Roman" w:eastAsia="仿宋_GB2312" w:cs="Times New Roman"/>
          <w:b w:val="0"/>
          <w:bCs w:val="0"/>
          <w:color w:val="auto"/>
          <w:spacing w:val="8"/>
          <w:sz w:val="32"/>
          <w:szCs w:val="32"/>
          <w:shd w:val="clear" w:color="auto" w:fill="FFFFFF"/>
          <w:lang w:val="en-US" w:eastAsia="zh-CN"/>
        </w:rPr>
        <w:t>的</w:t>
      </w:r>
      <w:r>
        <w:rPr>
          <w:rFonts w:hint="default" w:ascii="Times New Roman" w:hAnsi="Times New Roman" w:eastAsia="仿宋_GB2312" w:cs="Times New Roman"/>
          <w:b w:val="0"/>
          <w:bCs w:val="0"/>
          <w:color w:val="auto"/>
          <w:spacing w:val="8"/>
          <w:sz w:val="32"/>
          <w:szCs w:val="32"/>
          <w:shd w:val="clear" w:color="auto" w:fill="FFFFFF"/>
          <w:lang w:val="en-US" w:eastAsia="zh-CN"/>
        </w:rPr>
        <w:t>《产品销售价格执行表》</w:t>
      </w:r>
      <w:r>
        <w:rPr>
          <w:rFonts w:hint="eastAsia" w:ascii="Times New Roman" w:hAnsi="Times New Roman" w:eastAsia="仿宋_GB2312" w:cs="Times New Roman"/>
          <w:b w:val="0"/>
          <w:bCs w:val="0"/>
          <w:color w:val="auto"/>
          <w:spacing w:val="8"/>
          <w:sz w:val="32"/>
          <w:szCs w:val="32"/>
          <w:shd w:val="clear" w:color="auto" w:fill="FFFFFF"/>
          <w:lang w:val="en-US" w:eastAsia="zh-CN"/>
        </w:rPr>
        <w:t>、</w:t>
      </w:r>
      <w:r>
        <w:rPr>
          <w:rFonts w:hint="default" w:ascii="Times New Roman" w:hAnsi="Times New Roman" w:eastAsia="仿宋_GB2312" w:cs="Times New Roman"/>
          <w:b w:val="0"/>
          <w:bCs w:val="0"/>
          <w:color w:val="auto"/>
          <w:spacing w:val="8"/>
          <w:sz w:val="32"/>
          <w:szCs w:val="32"/>
          <w:shd w:val="clear" w:color="auto" w:fill="FFFFFF"/>
          <w:lang w:val="en-US" w:eastAsia="zh-CN"/>
        </w:rPr>
        <w:t>《价格调整》等价格调整情况资料；当事人与下游企业签订的《水泥购销合同》</w:t>
      </w:r>
      <w:r>
        <w:rPr>
          <w:rFonts w:hint="eastAsia" w:ascii="Times New Roman" w:hAnsi="Times New Roman" w:eastAsia="仿宋_GB2312" w:cs="Times New Roman"/>
          <w:b w:val="0"/>
          <w:bCs w:val="0"/>
          <w:color w:val="auto"/>
          <w:spacing w:val="8"/>
          <w:sz w:val="32"/>
          <w:szCs w:val="32"/>
          <w:shd w:val="clear" w:color="auto" w:fill="FFFFFF"/>
          <w:lang w:val="en-US" w:eastAsia="zh-CN"/>
        </w:rPr>
        <w:t>、</w:t>
      </w:r>
      <w:r>
        <w:rPr>
          <w:rFonts w:hint="default" w:ascii="Times New Roman" w:hAnsi="Times New Roman" w:eastAsia="仿宋_GB2312" w:cs="Times New Roman"/>
          <w:b w:val="0"/>
          <w:bCs w:val="0"/>
          <w:color w:val="auto"/>
          <w:spacing w:val="8"/>
          <w:sz w:val="32"/>
          <w:szCs w:val="32"/>
          <w:shd w:val="clear" w:color="auto" w:fill="FFFFFF"/>
          <w:lang w:val="en-US" w:eastAsia="zh-CN"/>
        </w:rPr>
        <w:t>《调价通知》及水泥销售增值税发票等；其他各涉案企业价格调整相关资料。证明当事人通过一致性行为实施统一涨价的垄断协议。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第四组证据：陕西省工业和信息化厅等部门提供的数据材料等。证明相关市场的市场结构、竞争状况、市场变化等情况。</w:t>
      </w:r>
    </w:p>
    <w:p>
      <w:pPr>
        <w:keepNext w:val="0"/>
        <w:keepLines w:val="0"/>
        <w:pageBreakBefore w:val="0"/>
        <w:kinsoku/>
        <w:overflowPunct/>
        <w:topLinePunct w:val="0"/>
        <w:autoSpaceDE/>
        <w:autoSpaceDN/>
        <w:bidi w:val="0"/>
        <w:adjustRightInd w:val="0"/>
        <w:snapToGrid w:val="0"/>
        <w:spacing w:line="560" w:lineRule="exact"/>
        <w:ind w:firstLine="704"/>
        <w:jc w:val="left"/>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shd w:val="clear" w:color="auto" w:fill="FFFFFF"/>
          <w:lang w:val="en-US" w:eastAsia="zh-CN"/>
          <w14:textFill>
            <w14:solidFill>
              <w14:schemeClr w14:val="tx1"/>
            </w14:solidFill>
          </w14:textFill>
        </w:rPr>
        <w:t>五、行政</w:t>
      </w:r>
      <w:r>
        <w:rPr>
          <w:rFonts w:hint="default" w:ascii="Times New Roman" w:hAnsi="Times New Roman" w:eastAsia="黑体" w:cs="Times New Roman"/>
          <w:b w:val="0"/>
          <w:bCs/>
          <w:color w:val="000000" w:themeColor="text1"/>
          <w:sz w:val="32"/>
          <w:szCs w:val="32"/>
          <w:u w:val="none"/>
          <w:lang w:eastAsia="zh-CN"/>
          <w14:textFill>
            <w14:solidFill>
              <w14:schemeClr w14:val="tx1"/>
            </w14:solidFill>
          </w14:textFill>
        </w:rPr>
        <w:t>处罚决定及依据</w:t>
      </w:r>
    </w:p>
    <w:p>
      <w:pPr>
        <w:pStyle w:val="5"/>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本局认定，当事人与其他具有竞争关系的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涉案</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企业在陕西省水泥协会的组织下</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或自发组织，</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多次协商并统一上调水泥销售价格的行为</w:t>
      </w:r>
      <w:r>
        <w:rPr>
          <w:rFonts w:hint="default" w:ascii="Times New Roman" w:hAnsi="Times New Roman" w:eastAsia="仿宋_GB2312" w:cs="Times New Roman"/>
          <w:bCs/>
          <w:color w:val="000000"/>
          <w:kern w:val="2"/>
          <w:sz w:val="32"/>
          <w:szCs w:val="32"/>
          <w:highlight w:val="none"/>
          <w:lang w:val="en-US" w:eastAsia="zh-CN" w:bidi="ar-SA"/>
        </w:rPr>
        <w:t>违反《反垄断法》第十三条第一款第（一）项的规定，属于具有竞争关系的经营者达成并实施</w:t>
      </w:r>
      <w:r>
        <w:rPr>
          <w:rFonts w:hint="eastAsia" w:ascii="Times New Roman" w:hAnsi="Times New Roman" w:eastAsia="仿宋_GB2312" w:cs="Times New Roman"/>
          <w:bCs/>
          <w:color w:val="000000"/>
          <w:kern w:val="2"/>
          <w:sz w:val="32"/>
          <w:szCs w:val="32"/>
          <w:highlight w:val="none"/>
          <w:lang w:val="en-US" w:eastAsia="zh-CN" w:bidi="ar-SA"/>
        </w:rPr>
        <w:t>“</w:t>
      </w:r>
      <w:r>
        <w:rPr>
          <w:rFonts w:hint="default" w:ascii="Times New Roman" w:hAnsi="Times New Roman" w:eastAsia="仿宋_GB2312" w:cs="Times New Roman"/>
          <w:bCs/>
          <w:color w:val="000000"/>
          <w:kern w:val="2"/>
          <w:sz w:val="32"/>
          <w:szCs w:val="32"/>
          <w:highlight w:val="none"/>
          <w:lang w:val="en-US" w:eastAsia="zh-CN" w:bidi="ar-SA"/>
        </w:rPr>
        <w:t>固定或者变更商品价格</w:t>
      </w:r>
      <w:r>
        <w:rPr>
          <w:rFonts w:hint="eastAsia" w:ascii="Times New Roman" w:hAnsi="Times New Roman" w:eastAsia="仿宋_GB2312" w:cs="Times New Roman"/>
          <w:bCs/>
          <w:color w:val="000000"/>
          <w:kern w:val="2"/>
          <w:sz w:val="32"/>
          <w:szCs w:val="32"/>
          <w:highlight w:val="none"/>
          <w:lang w:val="en-US" w:eastAsia="zh-CN" w:bidi="ar-SA"/>
        </w:rPr>
        <w:t>”</w:t>
      </w:r>
      <w:r>
        <w:rPr>
          <w:rFonts w:hint="default" w:ascii="Times New Roman" w:hAnsi="Times New Roman" w:eastAsia="仿宋_GB2312" w:cs="Times New Roman"/>
          <w:bCs/>
          <w:color w:val="000000"/>
          <w:kern w:val="2"/>
          <w:sz w:val="32"/>
          <w:szCs w:val="32"/>
          <w:highlight w:val="none"/>
          <w:lang w:val="en-US" w:eastAsia="zh-CN" w:bidi="ar-SA"/>
        </w:rPr>
        <w:t>垄断协议的违法行为，</w:t>
      </w:r>
      <w:r>
        <w:rPr>
          <w:rFonts w:hint="default" w:ascii="Times New Roman" w:hAnsi="Times New Roman" w:eastAsia="仿宋_GB2312" w:cs="Times New Roman"/>
          <w:b w:val="0"/>
          <w:bCs w:val="0"/>
          <w:color w:val="000000"/>
          <w:spacing w:val="8"/>
          <w:sz w:val="32"/>
          <w:szCs w:val="32"/>
          <w:highlight w:val="none"/>
          <w:shd w:val="clear" w:color="auto" w:fill="FFFFFF"/>
          <w:lang w:val="en-US" w:eastAsia="zh-CN"/>
        </w:rPr>
        <w:t>上述行为</w:t>
      </w:r>
      <w:r>
        <w:rPr>
          <w:rFonts w:hint="default" w:ascii="Times New Roman" w:hAnsi="Times New Roman" w:eastAsia="仿宋_GB2312" w:cs="Times New Roman"/>
          <w:b w:val="0"/>
          <w:bCs/>
          <w:color w:val="000000"/>
          <w:sz w:val="32"/>
          <w:szCs w:val="32"/>
          <w:highlight w:val="none"/>
          <w:lang w:val="en-US" w:eastAsia="zh-CN"/>
        </w:rPr>
        <w:t>排除、限制陕西省关中区域水泥市场的竞争，破坏建材行业公平竞争市场秩序，降低经济运行效率，损害消费者利益和社会公共利益。</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根据《反垄断法》第四十六条、第四十九条的规定，</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综合</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考虑当事人违法行为的性质、程度和持续时间，本局决定责令当事人停止违法行为，并作出如下行政处罚：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color w:val="auto"/>
          <w:spacing w:val="8"/>
          <w:sz w:val="32"/>
          <w:szCs w:val="32"/>
          <w:shd w:val="clear" w:color="auto" w:fill="FFFFFF"/>
          <w:lang w:val="en-US" w:eastAsia="zh-CN"/>
        </w:rPr>
      </w:pPr>
      <w:r>
        <w:rPr>
          <w:rFonts w:hint="default" w:ascii="Times New Roman" w:hAnsi="Times New Roman" w:eastAsia="仿宋_GB2312" w:cs="Times New Roman"/>
          <w:color w:val="auto"/>
          <w:spacing w:val="8"/>
          <w:sz w:val="32"/>
          <w:szCs w:val="32"/>
          <w:shd w:val="clear" w:color="auto" w:fill="FFFFFF"/>
          <w:lang w:val="en-US" w:eastAsia="zh-CN"/>
        </w:rPr>
        <w:t>（一）对陕西金隅冀东水泥经贸有限公司处2018年度销售额1,222,063,933.54元3%的罚款，共计36,661,918.01元</w:t>
      </w:r>
      <w:r>
        <w:rPr>
          <w:rFonts w:hint="default" w:ascii="Times New Roman" w:hAnsi="Times New Roman" w:eastAsia="仿宋_GB2312" w:cs="Times New Roman"/>
          <w:bCs/>
          <w:color w:val="auto"/>
          <w:sz w:val="32"/>
          <w:szCs w:val="32"/>
          <w:lang w:val="en-US" w:eastAsia="zh-CN"/>
        </w:rPr>
        <w:t>（大写：叁仟陆佰陆拾陆万壹仟玖佰壹拾捌元零壹分）</w:t>
      </w:r>
      <w:r>
        <w:rPr>
          <w:rFonts w:hint="default" w:ascii="Times New Roman" w:hAnsi="Times New Roman" w:eastAsia="仿宋_GB2312" w:cs="Times New Roman"/>
          <w:color w:val="auto"/>
          <w:spacing w:val="8"/>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color w:val="auto"/>
          <w:spacing w:val="8"/>
          <w:sz w:val="32"/>
          <w:szCs w:val="32"/>
          <w:shd w:val="clear" w:color="auto" w:fill="FFFFFF"/>
          <w:lang w:val="en-US" w:eastAsia="zh-CN"/>
        </w:rPr>
      </w:pPr>
      <w:r>
        <w:rPr>
          <w:rFonts w:hint="default" w:ascii="Times New Roman" w:hAnsi="Times New Roman" w:eastAsia="仿宋_GB2312" w:cs="Times New Roman"/>
          <w:color w:val="auto"/>
          <w:spacing w:val="8"/>
          <w:sz w:val="32"/>
          <w:szCs w:val="32"/>
          <w:shd w:val="clear" w:color="auto" w:fill="FFFFFF"/>
          <w:lang w:val="en-US" w:eastAsia="zh-CN"/>
        </w:rPr>
        <w:t>（二）对冀东海德堡（泾阳）水泥有限公司处2018年度销售额1,036,559,687.17元3%的罚款，共计31,096,790.62元</w:t>
      </w:r>
      <w:r>
        <w:rPr>
          <w:rFonts w:hint="default" w:ascii="Times New Roman" w:hAnsi="Times New Roman" w:eastAsia="仿宋_GB2312" w:cs="Times New Roman"/>
          <w:bCs/>
          <w:color w:val="auto"/>
          <w:sz w:val="32"/>
          <w:szCs w:val="32"/>
          <w:lang w:val="en-US" w:eastAsia="zh-CN"/>
        </w:rPr>
        <w:t>(大写：叁仟壹佰零玖万陆仟柒佰玖拾元陆角贰分)</w:t>
      </w:r>
      <w:r>
        <w:rPr>
          <w:rFonts w:hint="default" w:ascii="Times New Roman" w:hAnsi="Times New Roman" w:eastAsia="仿宋_GB2312" w:cs="Times New Roman"/>
          <w:color w:val="auto"/>
          <w:spacing w:val="8"/>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color w:val="auto"/>
          <w:spacing w:val="8"/>
          <w:sz w:val="32"/>
          <w:szCs w:val="32"/>
          <w:shd w:val="clear" w:color="auto" w:fill="FFFFFF"/>
          <w:lang w:val="en-US" w:eastAsia="zh-CN"/>
        </w:rPr>
      </w:pPr>
      <w:r>
        <w:rPr>
          <w:rFonts w:hint="default" w:ascii="Times New Roman" w:hAnsi="Times New Roman" w:eastAsia="仿宋_GB2312" w:cs="Times New Roman"/>
          <w:color w:val="auto"/>
          <w:spacing w:val="8"/>
          <w:sz w:val="32"/>
          <w:szCs w:val="32"/>
          <w:shd w:val="clear" w:color="auto" w:fill="FFFFFF"/>
          <w:lang w:val="en-US" w:eastAsia="zh-CN"/>
        </w:rPr>
        <w:t>（三）对冀东海德堡（扶风）水泥有限公司处2018年度销售额993,294,712.78元3%的罚款，共计29,798,841.38元</w:t>
      </w:r>
      <w:r>
        <w:rPr>
          <w:rFonts w:hint="default" w:ascii="Times New Roman" w:hAnsi="Times New Roman" w:eastAsia="仿宋_GB2312" w:cs="Times New Roman"/>
          <w:bCs/>
          <w:color w:val="auto"/>
          <w:sz w:val="32"/>
          <w:szCs w:val="32"/>
          <w:lang w:val="en-US" w:eastAsia="zh-CN"/>
        </w:rPr>
        <w:t>(大写：贰仟玖佰柒拾玖万捌仟捌佰肆拾壹元叁角捌分）</w:t>
      </w:r>
      <w:r>
        <w:rPr>
          <w:rFonts w:hint="default" w:ascii="Times New Roman" w:hAnsi="Times New Roman" w:eastAsia="仿宋_GB2312" w:cs="Times New Roman"/>
          <w:color w:val="auto"/>
          <w:spacing w:val="8"/>
          <w:sz w:val="32"/>
          <w:szCs w:val="32"/>
          <w:shd w:val="clear" w:color="auto" w:fill="FFFFFF"/>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default" w:ascii="Times New Roman" w:hAnsi="Times New Roman" w:eastAsia="仿宋_GB2312" w:cs="Times New Roman"/>
          <w:sz w:val="32"/>
          <w:szCs w:val="32"/>
          <w:u w:val="none"/>
        </w:rPr>
        <w:t>《行政处罚法》第</w:t>
      </w:r>
      <w:r>
        <w:rPr>
          <w:rFonts w:hint="default" w:ascii="Times New Roman" w:hAnsi="Times New Roman" w:eastAsia="仿宋_GB2312" w:cs="Times New Roman"/>
          <w:sz w:val="32"/>
          <w:szCs w:val="32"/>
          <w:u w:val="none"/>
          <w:lang w:val="en-US" w:eastAsia="zh-CN"/>
        </w:rPr>
        <w:t>六十七</w:t>
      </w:r>
      <w:r>
        <w:rPr>
          <w:rFonts w:hint="eastAsia" w:ascii="Times New Roman" w:hAnsi="Times New Roman" w:eastAsia="仿宋_GB2312" w:cs="Times New Roman"/>
          <w:sz w:val="32"/>
          <w:szCs w:val="32"/>
          <w:u w:val="none"/>
          <w:lang w:val="en-US" w:eastAsia="zh-CN"/>
        </w:rPr>
        <w:t>条</w:t>
      </w:r>
      <w:r>
        <w:rPr>
          <w:rFonts w:hint="default" w:ascii="Times New Roman" w:hAnsi="Times New Roman" w:eastAsia="仿宋_GB2312" w:cs="Times New Roman"/>
          <w:sz w:val="32"/>
          <w:szCs w:val="32"/>
          <w:u w:val="none"/>
        </w:rPr>
        <w:t>规定，</w:t>
      </w:r>
      <w:r>
        <w:rPr>
          <w:rFonts w:hint="default" w:ascii="Times New Roman" w:hAnsi="Times New Roman" w:eastAsia="仿宋_GB2312" w:cs="Times New Roman"/>
          <w:sz w:val="32"/>
          <w:szCs w:val="32"/>
          <w:u w:val="none"/>
          <w:lang w:eastAsia="zh-CN"/>
        </w:rPr>
        <w:t>当事人应当自收到本行政处罚决定书之日起十五日内</w:t>
      </w:r>
      <w:r>
        <w:rPr>
          <w:rFonts w:hint="eastAsia" w:ascii="Times New Roman" w:hAnsi="Times New Roman" w:eastAsia="仿宋_GB2312" w:cs="Times New Roman"/>
          <w:sz w:val="32"/>
          <w:szCs w:val="32"/>
          <w:u w:val="none"/>
          <w:lang w:val="en-US" w:eastAsia="zh-CN"/>
        </w:rPr>
        <w:t>缴纳罚款</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（缴款提示：收到缴款短信后按照提示直接缴纳罚款，或持缴款通知书到银行缴款）</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sz w:val="32"/>
          <w:szCs w:val="32"/>
          <w:u w:val="none"/>
          <w:lang w:val="en-US" w:eastAsia="zh-CN"/>
        </w:rPr>
        <w:t>根据《行政处罚法》第七十二条规定，当事人逾期不履行行政处罚决定的，本局可以采取以下措施：（一）</w:t>
      </w:r>
      <w:r>
        <w:rPr>
          <w:rFonts w:hint="default" w:ascii="Times New Roman" w:hAnsi="Times New Roman" w:eastAsia="仿宋_GB2312" w:cs="Times New Roman"/>
          <w:sz w:val="32"/>
          <w:szCs w:val="32"/>
          <w:u w:val="none"/>
        </w:rPr>
        <w:t>到期不交纳罚款的，每日按罚款数额的百分之三加处罚款</w:t>
      </w:r>
      <w:r>
        <w:rPr>
          <w:rFonts w:hint="default" w:ascii="Times New Roman" w:hAnsi="Times New Roman" w:eastAsia="仿宋_GB2312" w:cs="Times New Roman"/>
          <w:sz w:val="32"/>
          <w:szCs w:val="32"/>
          <w:u w:val="none"/>
          <w:lang w:val="en-US" w:eastAsia="zh-CN"/>
        </w:rPr>
        <w:t>；（二）</w:t>
      </w:r>
      <w:r>
        <w:rPr>
          <w:rFonts w:hint="default" w:ascii="Times New Roman" w:hAnsi="Times New Roman" w:eastAsia="仿宋_GB2312" w:cs="Times New Roman"/>
          <w:bCs/>
          <w:color w:val="auto"/>
          <w:sz w:val="32"/>
          <w:szCs w:val="32"/>
          <w:highlight w:val="none"/>
          <w:lang w:val="en-US" w:eastAsia="zh-CN"/>
        </w:rPr>
        <w:t>依照《中华人民共和国行政强制法》的规定申请人民法院强制执行。</w:t>
      </w:r>
    </w:p>
    <w:p>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当事人如对上述行政处罚决定不服，可以自收到本行政处罚决定书之日起六十日内，</w:t>
      </w:r>
      <w:r>
        <w:rPr>
          <w:rFonts w:hint="default" w:ascii="Times New Roman" w:hAnsi="Times New Roman" w:eastAsia="仿宋_GB2312" w:cs="Times New Roman"/>
          <w:sz w:val="32"/>
          <w:szCs w:val="32"/>
          <w:highlight w:val="none"/>
          <w:u w:val="none"/>
          <w:lang w:eastAsia="zh-CN"/>
        </w:rPr>
        <w:t>向</w:t>
      </w:r>
      <w:r>
        <w:rPr>
          <w:rFonts w:hint="default" w:ascii="Times New Roman" w:hAnsi="Times New Roman" w:eastAsia="仿宋_GB2312" w:cs="Times New Roman"/>
          <w:sz w:val="32"/>
          <w:szCs w:val="32"/>
          <w:highlight w:val="none"/>
          <w:u w:val="none"/>
          <w:lang w:val="en-US" w:eastAsia="zh-CN"/>
        </w:rPr>
        <w:t>国家市场监督管理总局或陕西省人民政府</w:t>
      </w:r>
      <w:r>
        <w:rPr>
          <w:rFonts w:hint="default" w:ascii="Times New Roman" w:hAnsi="Times New Roman" w:eastAsia="仿宋_GB2312" w:cs="Times New Roman"/>
          <w:sz w:val="32"/>
          <w:szCs w:val="32"/>
          <w:highlight w:val="none"/>
          <w:u w:val="none"/>
          <w:lang w:eastAsia="zh-CN"/>
        </w:rPr>
        <w:t>申请行政复议；</w:t>
      </w:r>
      <w:r>
        <w:rPr>
          <w:rFonts w:hint="default" w:ascii="Times New Roman" w:hAnsi="Times New Roman" w:eastAsia="仿宋_GB2312" w:cs="Times New Roman"/>
          <w:sz w:val="32"/>
          <w:szCs w:val="32"/>
          <w:u w:val="none"/>
          <w:lang w:eastAsia="zh-CN"/>
        </w:rPr>
        <w:t>或者自收到本行政处罚决定书之日起六个月内，依法向人民法院提起行政诉讼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行政复议或者行政诉讼期间，本行政处罚决定不停止执行。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bookmarkStart w:id="0" w:name="_GoBack"/>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bookmarkEnd w:id="0"/>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0" w:firstLineChars="1500"/>
        <w:jc w:val="both"/>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陕西省市场监督管理局</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2022年6月</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28</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日</w:t>
      </w:r>
    </w:p>
    <w:sectPr>
      <w:footerReference r:id="rId3" w:type="default"/>
      <w:pgSz w:w="11906" w:h="16838"/>
      <w:pgMar w:top="1440" w:right="1474" w:bottom="115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- 1 -</w:t>
                          </w:r>
                          <w:r>
                            <w:rPr>
                              <w:rFonts w:hint="eastAsia" w:asciiTheme="minorEastAsia" w:hAnsiTheme="minorEastAsia" w:eastAsiaTheme="minorEastAsia" w:cstheme="minor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- 1 -</w:t>
                    </w:r>
                    <w:r>
                      <w:rPr>
                        <w:rFonts w:hint="eastAsia" w:asciiTheme="minorEastAsia" w:hAnsiTheme="minorEastAsia" w:eastAsiaTheme="minorEastAsia" w:cstheme="minorEastAsia"/>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C7FD7"/>
    <w:rsid w:val="000E5995"/>
    <w:rsid w:val="002166FC"/>
    <w:rsid w:val="00432D7C"/>
    <w:rsid w:val="006E7382"/>
    <w:rsid w:val="012302FE"/>
    <w:rsid w:val="01234AF2"/>
    <w:rsid w:val="014E682D"/>
    <w:rsid w:val="01601CEB"/>
    <w:rsid w:val="018A7548"/>
    <w:rsid w:val="01A21D3D"/>
    <w:rsid w:val="01BE4284"/>
    <w:rsid w:val="01C617C0"/>
    <w:rsid w:val="020A1DB0"/>
    <w:rsid w:val="022B2165"/>
    <w:rsid w:val="0251696A"/>
    <w:rsid w:val="025E5F48"/>
    <w:rsid w:val="026055AA"/>
    <w:rsid w:val="02AB30BA"/>
    <w:rsid w:val="02ED4103"/>
    <w:rsid w:val="02F82BE0"/>
    <w:rsid w:val="02FC3289"/>
    <w:rsid w:val="032F44A6"/>
    <w:rsid w:val="03306B96"/>
    <w:rsid w:val="033B35B0"/>
    <w:rsid w:val="0343424B"/>
    <w:rsid w:val="03B57179"/>
    <w:rsid w:val="03C624BF"/>
    <w:rsid w:val="040C757D"/>
    <w:rsid w:val="04102F89"/>
    <w:rsid w:val="04656A45"/>
    <w:rsid w:val="048A015E"/>
    <w:rsid w:val="0495080F"/>
    <w:rsid w:val="04BF2044"/>
    <w:rsid w:val="057A5757"/>
    <w:rsid w:val="05890432"/>
    <w:rsid w:val="05901B9D"/>
    <w:rsid w:val="05A21435"/>
    <w:rsid w:val="05AF5900"/>
    <w:rsid w:val="05C833CC"/>
    <w:rsid w:val="05E668BD"/>
    <w:rsid w:val="060F79FE"/>
    <w:rsid w:val="06130F4B"/>
    <w:rsid w:val="06A116ED"/>
    <w:rsid w:val="06FD27BB"/>
    <w:rsid w:val="07013F3A"/>
    <w:rsid w:val="07825056"/>
    <w:rsid w:val="07855EB6"/>
    <w:rsid w:val="078D5CF4"/>
    <w:rsid w:val="07FB4797"/>
    <w:rsid w:val="08631393"/>
    <w:rsid w:val="08882CFA"/>
    <w:rsid w:val="088B6211"/>
    <w:rsid w:val="08C83CF3"/>
    <w:rsid w:val="09306D58"/>
    <w:rsid w:val="09B110B8"/>
    <w:rsid w:val="09D90736"/>
    <w:rsid w:val="09E95EE0"/>
    <w:rsid w:val="0A40121D"/>
    <w:rsid w:val="0A73431A"/>
    <w:rsid w:val="0A9521D6"/>
    <w:rsid w:val="0AD72DDA"/>
    <w:rsid w:val="0ADA51CD"/>
    <w:rsid w:val="0B04704E"/>
    <w:rsid w:val="0B0F52B3"/>
    <w:rsid w:val="0B7367F5"/>
    <w:rsid w:val="0BA77A03"/>
    <w:rsid w:val="0BCC0820"/>
    <w:rsid w:val="0BF12363"/>
    <w:rsid w:val="0BF56832"/>
    <w:rsid w:val="0C014CCB"/>
    <w:rsid w:val="0C354C94"/>
    <w:rsid w:val="0C6F6D9B"/>
    <w:rsid w:val="0C964C84"/>
    <w:rsid w:val="0C994C14"/>
    <w:rsid w:val="0CAF4FA2"/>
    <w:rsid w:val="0CC91E8D"/>
    <w:rsid w:val="0CC97E83"/>
    <w:rsid w:val="0CDF6A02"/>
    <w:rsid w:val="0CFD4D7F"/>
    <w:rsid w:val="0D1D5E71"/>
    <w:rsid w:val="0D46265D"/>
    <w:rsid w:val="0D6A16DF"/>
    <w:rsid w:val="0DB90439"/>
    <w:rsid w:val="0DC519D7"/>
    <w:rsid w:val="0DCC7FAF"/>
    <w:rsid w:val="0DEC0371"/>
    <w:rsid w:val="0E2E5651"/>
    <w:rsid w:val="0E540F91"/>
    <w:rsid w:val="0E5610AB"/>
    <w:rsid w:val="0E7A0072"/>
    <w:rsid w:val="0E7F3276"/>
    <w:rsid w:val="0E8D73D7"/>
    <w:rsid w:val="0F1C2C32"/>
    <w:rsid w:val="0F1C3B76"/>
    <w:rsid w:val="0F1F142C"/>
    <w:rsid w:val="0F4E01F5"/>
    <w:rsid w:val="0F4F15F2"/>
    <w:rsid w:val="0F6A5E06"/>
    <w:rsid w:val="0F6C3997"/>
    <w:rsid w:val="0FA20ABF"/>
    <w:rsid w:val="0FB30494"/>
    <w:rsid w:val="0FCD1728"/>
    <w:rsid w:val="0FD70E66"/>
    <w:rsid w:val="10345E0F"/>
    <w:rsid w:val="107146C4"/>
    <w:rsid w:val="10891E6F"/>
    <w:rsid w:val="10B9243D"/>
    <w:rsid w:val="10E10AA7"/>
    <w:rsid w:val="10E773E5"/>
    <w:rsid w:val="10E816DA"/>
    <w:rsid w:val="10F13271"/>
    <w:rsid w:val="1107799B"/>
    <w:rsid w:val="112B0A57"/>
    <w:rsid w:val="11477AD8"/>
    <w:rsid w:val="115E7203"/>
    <w:rsid w:val="11741509"/>
    <w:rsid w:val="11A223B5"/>
    <w:rsid w:val="11BC13B4"/>
    <w:rsid w:val="11E94396"/>
    <w:rsid w:val="11F0327C"/>
    <w:rsid w:val="12095B62"/>
    <w:rsid w:val="120E0385"/>
    <w:rsid w:val="12216986"/>
    <w:rsid w:val="12577F66"/>
    <w:rsid w:val="126D3E21"/>
    <w:rsid w:val="12784582"/>
    <w:rsid w:val="129B570A"/>
    <w:rsid w:val="12B81368"/>
    <w:rsid w:val="12F01FD8"/>
    <w:rsid w:val="12F33E83"/>
    <w:rsid w:val="13197813"/>
    <w:rsid w:val="131B39E5"/>
    <w:rsid w:val="13207027"/>
    <w:rsid w:val="1364783F"/>
    <w:rsid w:val="13780FFD"/>
    <w:rsid w:val="13C54A7E"/>
    <w:rsid w:val="13FC0432"/>
    <w:rsid w:val="142930CA"/>
    <w:rsid w:val="1432262D"/>
    <w:rsid w:val="146A0C1D"/>
    <w:rsid w:val="14D22D99"/>
    <w:rsid w:val="14E82B0B"/>
    <w:rsid w:val="14F32728"/>
    <w:rsid w:val="152340F1"/>
    <w:rsid w:val="15EC231C"/>
    <w:rsid w:val="163D3DDD"/>
    <w:rsid w:val="166659B4"/>
    <w:rsid w:val="166D58B1"/>
    <w:rsid w:val="16761942"/>
    <w:rsid w:val="16A76482"/>
    <w:rsid w:val="16AA5610"/>
    <w:rsid w:val="16B73E5A"/>
    <w:rsid w:val="16D42CB5"/>
    <w:rsid w:val="16FD7DC2"/>
    <w:rsid w:val="172F21D5"/>
    <w:rsid w:val="17364E9F"/>
    <w:rsid w:val="17725D40"/>
    <w:rsid w:val="177C3206"/>
    <w:rsid w:val="177C4A0A"/>
    <w:rsid w:val="177E4105"/>
    <w:rsid w:val="179F1842"/>
    <w:rsid w:val="179F790B"/>
    <w:rsid w:val="187A3168"/>
    <w:rsid w:val="187F3272"/>
    <w:rsid w:val="18C3050C"/>
    <w:rsid w:val="18DF487D"/>
    <w:rsid w:val="18E3437E"/>
    <w:rsid w:val="18F04284"/>
    <w:rsid w:val="191120AC"/>
    <w:rsid w:val="19395C15"/>
    <w:rsid w:val="19575C3B"/>
    <w:rsid w:val="196D3E9A"/>
    <w:rsid w:val="197728B7"/>
    <w:rsid w:val="19C44475"/>
    <w:rsid w:val="19CA3742"/>
    <w:rsid w:val="19F55460"/>
    <w:rsid w:val="19FD0571"/>
    <w:rsid w:val="1A0501B2"/>
    <w:rsid w:val="1A0D6FCB"/>
    <w:rsid w:val="1A3F7F24"/>
    <w:rsid w:val="1A4B1D34"/>
    <w:rsid w:val="1A50741F"/>
    <w:rsid w:val="1A512A09"/>
    <w:rsid w:val="1A516B2E"/>
    <w:rsid w:val="1A5D5CB1"/>
    <w:rsid w:val="1A6434CC"/>
    <w:rsid w:val="1A6B67FE"/>
    <w:rsid w:val="1AD9749D"/>
    <w:rsid w:val="1AF87C2F"/>
    <w:rsid w:val="1B443D5F"/>
    <w:rsid w:val="1B5D6A28"/>
    <w:rsid w:val="1B920919"/>
    <w:rsid w:val="1B935C8A"/>
    <w:rsid w:val="1BE87352"/>
    <w:rsid w:val="1C154302"/>
    <w:rsid w:val="1C3073E9"/>
    <w:rsid w:val="1C361C6B"/>
    <w:rsid w:val="1C605A71"/>
    <w:rsid w:val="1C8A39BB"/>
    <w:rsid w:val="1CCE2DCF"/>
    <w:rsid w:val="1D41685C"/>
    <w:rsid w:val="1D683299"/>
    <w:rsid w:val="1D9D6D32"/>
    <w:rsid w:val="1DA3658D"/>
    <w:rsid w:val="1DAF24EA"/>
    <w:rsid w:val="1DCE0022"/>
    <w:rsid w:val="1DD834B4"/>
    <w:rsid w:val="1E2F459C"/>
    <w:rsid w:val="1E883DE5"/>
    <w:rsid w:val="1F147105"/>
    <w:rsid w:val="1F4C7463"/>
    <w:rsid w:val="1F711303"/>
    <w:rsid w:val="1F814D4A"/>
    <w:rsid w:val="1FBE7386"/>
    <w:rsid w:val="1FE90DFB"/>
    <w:rsid w:val="200C370A"/>
    <w:rsid w:val="2035033B"/>
    <w:rsid w:val="205500A2"/>
    <w:rsid w:val="208D7F0D"/>
    <w:rsid w:val="20EA7441"/>
    <w:rsid w:val="210B179F"/>
    <w:rsid w:val="21411453"/>
    <w:rsid w:val="216A5E8D"/>
    <w:rsid w:val="21AA46B7"/>
    <w:rsid w:val="21B24356"/>
    <w:rsid w:val="21EA06E9"/>
    <w:rsid w:val="222B53CE"/>
    <w:rsid w:val="224F77BF"/>
    <w:rsid w:val="2278160C"/>
    <w:rsid w:val="22B733D3"/>
    <w:rsid w:val="22C01F3D"/>
    <w:rsid w:val="22C20F56"/>
    <w:rsid w:val="22EC6970"/>
    <w:rsid w:val="2305468A"/>
    <w:rsid w:val="235A1217"/>
    <w:rsid w:val="23AA67BB"/>
    <w:rsid w:val="23CF0E84"/>
    <w:rsid w:val="23E704BC"/>
    <w:rsid w:val="23F86E89"/>
    <w:rsid w:val="244122B9"/>
    <w:rsid w:val="24466D8E"/>
    <w:rsid w:val="24506ED1"/>
    <w:rsid w:val="2467688D"/>
    <w:rsid w:val="246E608C"/>
    <w:rsid w:val="2479115B"/>
    <w:rsid w:val="24E32995"/>
    <w:rsid w:val="24EB5F8D"/>
    <w:rsid w:val="24F07BEB"/>
    <w:rsid w:val="25870978"/>
    <w:rsid w:val="25A007FC"/>
    <w:rsid w:val="25B27732"/>
    <w:rsid w:val="25B67284"/>
    <w:rsid w:val="25D85F35"/>
    <w:rsid w:val="25DA060C"/>
    <w:rsid w:val="25DA2F9A"/>
    <w:rsid w:val="26583CFB"/>
    <w:rsid w:val="26590A2C"/>
    <w:rsid w:val="26A048DF"/>
    <w:rsid w:val="26D17398"/>
    <w:rsid w:val="27102D46"/>
    <w:rsid w:val="27591E38"/>
    <w:rsid w:val="2789387F"/>
    <w:rsid w:val="27AD638E"/>
    <w:rsid w:val="27BB0B92"/>
    <w:rsid w:val="27CE6CE3"/>
    <w:rsid w:val="27ED4CF8"/>
    <w:rsid w:val="27F703DA"/>
    <w:rsid w:val="28591B7C"/>
    <w:rsid w:val="28A44A91"/>
    <w:rsid w:val="28AE4D4C"/>
    <w:rsid w:val="291765D6"/>
    <w:rsid w:val="29542197"/>
    <w:rsid w:val="29CD1DE7"/>
    <w:rsid w:val="29D66FC0"/>
    <w:rsid w:val="2A010B48"/>
    <w:rsid w:val="2A1C15F7"/>
    <w:rsid w:val="2A1D186D"/>
    <w:rsid w:val="2A497D9D"/>
    <w:rsid w:val="2A646BB6"/>
    <w:rsid w:val="2A846DD9"/>
    <w:rsid w:val="2AAD6CC9"/>
    <w:rsid w:val="2AC70599"/>
    <w:rsid w:val="2B286B09"/>
    <w:rsid w:val="2B6542C8"/>
    <w:rsid w:val="2B88197A"/>
    <w:rsid w:val="2BA33063"/>
    <w:rsid w:val="2BD26BBD"/>
    <w:rsid w:val="2BE563DD"/>
    <w:rsid w:val="2BF72D5E"/>
    <w:rsid w:val="2BF80267"/>
    <w:rsid w:val="2C0B1557"/>
    <w:rsid w:val="2C5223C6"/>
    <w:rsid w:val="2C52564B"/>
    <w:rsid w:val="2C6303E3"/>
    <w:rsid w:val="2C633C80"/>
    <w:rsid w:val="2C7B75AB"/>
    <w:rsid w:val="2C7F39CF"/>
    <w:rsid w:val="2C897C97"/>
    <w:rsid w:val="2C8A6645"/>
    <w:rsid w:val="2CBE1B2C"/>
    <w:rsid w:val="2CCC709E"/>
    <w:rsid w:val="2D3E47E0"/>
    <w:rsid w:val="2D7A014D"/>
    <w:rsid w:val="2DB56440"/>
    <w:rsid w:val="2DFD6A90"/>
    <w:rsid w:val="2E0852FA"/>
    <w:rsid w:val="2E1656CF"/>
    <w:rsid w:val="2E304269"/>
    <w:rsid w:val="2E377F5E"/>
    <w:rsid w:val="2E6611DD"/>
    <w:rsid w:val="2EB94148"/>
    <w:rsid w:val="2ECB693D"/>
    <w:rsid w:val="2EEC226C"/>
    <w:rsid w:val="2EF25B35"/>
    <w:rsid w:val="2F08501D"/>
    <w:rsid w:val="2F246168"/>
    <w:rsid w:val="2F371186"/>
    <w:rsid w:val="2F4231B5"/>
    <w:rsid w:val="2F597BEE"/>
    <w:rsid w:val="2F8509B5"/>
    <w:rsid w:val="2F8C3303"/>
    <w:rsid w:val="2F9916DA"/>
    <w:rsid w:val="2FC20B8C"/>
    <w:rsid w:val="2FD80595"/>
    <w:rsid w:val="2FDA276E"/>
    <w:rsid w:val="2FE25375"/>
    <w:rsid w:val="301146C7"/>
    <w:rsid w:val="301177E8"/>
    <w:rsid w:val="304742C3"/>
    <w:rsid w:val="30737E9C"/>
    <w:rsid w:val="30837BD8"/>
    <w:rsid w:val="308778C5"/>
    <w:rsid w:val="30893B6F"/>
    <w:rsid w:val="30A4276D"/>
    <w:rsid w:val="30A75CC9"/>
    <w:rsid w:val="30AC7124"/>
    <w:rsid w:val="30B01F9B"/>
    <w:rsid w:val="30D11399"/>
    <w:rsid w:val="31401161"/>
    <w:rsid w:val="31401B3B"/>
    <w:rsid w:val="317E0EC4"/>
    <w:rsid w:val="317E4255"/>
    <w:rsid w:val="31D22653"/>
    <w:rsid w:val="31E70913"/>
    <w:rsid w:val="321D44FC"/>
    <w:rsid w:val="32253554"/>
    <w:rsid w:val="323E3E3D"/>
    <w:rsid w:val="32551229"/>
    <w:rsid w:val="3280350E"/>
    <w:rsid w:val="32DE3806"/>
    <w:rsid w:val="33157AE4"/>
    <w:rsid w:val="334037E5"/>
    <w:rsid w:val="33974AEA"/>
    <w:rsid w:val="33B70110"/>
    <w:rsid w:val="33C14708"/>
    <w:rsid w:val="33E915C4"/>
    <w:rsid w:val="34450FF4"/>
    <w:rsid w:val="345204AB"/>
    <w:rsid w:val="347B53E1"/>
    <w:rsid w:val="348751CF"/>
    <w:rsid w:val="34C30990"/>
    <w:rsid w:val="34E27FAA"/>
    <w:rsid w:val="34E43128"/>
    <w:rsid w:val="350848D4"/>
    <w:rsid w:val="351759D1"/>
    <w:rsid w:val="353216CC"/>
    <w:rsid w:val="35385285"/>
    <w:rsid w:val="354537E7"/>
    <w:rsid w:val="358E0F87"/>
    <w:rsid w:val="35B32BF9"/>
    <w:rsid w:val="35EE690D"/>
    <w:rsid w:val="35FA5E87"/>
    <w:rsid w:val="361E069F"/>
    <w:rsid w:val="362908E1"/>
    <w:rsid w:val="362E17F5"/>
    <w:rsid w:val="363E3E53"/>
    <w:rsid w:val="365732C7"/>
    <w:rsid w:val="36871267"/>
    <w:rsid w:val="36923515"/>
    <w:rsid w:val="36CA5F0D"/>
    <w:rsid w:val="36F16EB3"/>
    <w:rsid w:val="36F45CBF"/>
    <w:rsid w:val="37072FE3"/>
    <w:rsid w:val="37574228"/>
    <w:rsid w:val="376A771E"/>
    <w:rsid w:val="37750C34"/>
    <w:rsid w:val="379832FD"/>
    <w:rsid w:val="38234CA6"/>
    <w:rsid w:val="385F2A19"/>
    <w:rsid w:val="386C370C"/>
    <w:rsid w:val="38960493"/>
    <w:rsid w:val="38A25C67"/>
    <w:rsid w:val="38D44D97"/>
    <w:rsid w:val="38D532AE"/>
    <w:rsid w:val="39017B1E"/>
    <w:rsid w:val="39190E22"/>
    <w:rsid w:val="39335DEA"/>
    <w:rsid w:val="396234B7"/>
    <w:rsid w:val="399A706C"/>
    <w:rsid w:val="39C92E2A"/>
    <w:rsid w:val="39CC413E"/>
    <w:rsid w:val="39CF35D4"/>
    <w:rsid w:val="39E84159"/>
    <w:rsid w:val="3A531AA4"/>
    <w:rsid w:val="3A6E3907"/>
    <w:rsid w:val="3A764A69"/>
    <w:rsid w:val="3A956DE9"/>
    <w:rsid w:val="3ABC194A"/>
    <w:rsid w:val="3AF026D5"/>
    <w:rsid w:val="3B044F66"/>
    <w:rsid w:val="3B067113"/>
    <w:rsid w:val="3B453AD9"/>
    <w:rsid w:val="3B4B5A6B"/>
    <w:rsid w:val="3B666876"/>
    <w:rsid w:val="3B86087B"/>
    <w:rsid w:val="3BA07687"/>
    <w:rsid w:val="3BBE169D"/>
    <w:rsid w:val="3BCF1F32"/>
    <w:rsid w:val="3C16291C"/>
    <w:rsid w:val="3C18699F"/>
    <w:rsid w:val="3C3164AA"/>
    <w:rsid w:val="3C4A438D"/>
    <w:rsid w:val="3C4E2D37"/>
    <w:rsid w:val="3C6B187A"/>
    <w:rsid w:val="3C832CE0"/>
    <w:rsid w:val="3C965131"/>
    <w:rsid w:val="3CA55E40"/>
    <w:rsid w:val="3CA74D95"/>
    <w:rsid w:val="3CB378E6"/>
    <w:rsid w:val="3CBA184B"/>
    <w:rsid w:val="3CD177A5"/>
    <w:rsid w:val="3CF924F6"/>
    <w:rsid w:val="3D062C08"/>
    <w:rsid w:val="3D0C2020"/>
    <w:rsid w:val="3D2428C7"/>
    <w:rsid w:val="3D264D2B"/>
    <w:rsid w:val="3D286D27"/>
    <w:rsid w:val="3D5B470F"/>
    <w:rsid w:val="3D6704A6"/>
    <w:rsid w:val="3DFB64DF"/>
    <w:rsid w:val="3E037DF5"/>
    <w:rsid w:val="3E705DB1"/>
    <w:rsid w:val="3E87466D"/>
    <w:rsid w:val="3EA66B99"/>
    <w:rsid w:val="3EC22607"/>
    <w:rsid w:val="3ECB7874"/>
    <w:rsid w:val="3F153BC2"/>
    <w:rsid w:val="3F167D14"/>
    <w:rsid w:val="3F283E5A"/>
    <w:rsid w:val="3F3F70D6"/>
    <w:rsid w:val="3FA46DCD"/>
    <w:rsid w:val="3FAC29E0"/>
    <w:rsid w:val="3FB62558"/>
    <w:rsid w:val="3FC14B79"/>
    <w:rsid w:val="3FEE4B75"/>
    <w:rsid w:val="40061999"/>
    <w:rsid w:val="40287B58"/>
    <w:rsid w:val="40570CF6"/>
    <w:rsid w:val="407F76CB"/>
    <w:rsid w:val="40846B4E"/>
    <w:rsid w:val="40865408"/>
    <w:rsid w:val="40A20BE4"/>
    <w:rsid w:val="40C11715"/>
    <w:rsid w:val="40CF2E51"/>
    <w:rsid w:val="40DB26E5"/>
    <w:rsid w:val="410D723C"/>
    <w:rsid w:val="413A42D8"/>
    <w:rsid w:val="4160472E"/>
    <w:rsid w:val="41655BBD"/>
    <w:rsid w:val="416F0CA3"/>
    <w:rsid w:val="41820ABA"/>
    <w:rsid w:val="41BD20B0"/>
    <w:rsid w:val="41D006FC"/>
    <w:rsid w:val="4201512A"/>
    <w:rsid w:val="420E7E52"/>
    <w:rsid w:val="421A1D78"/>
    <w:rsid w:val="424D19B7"/>
    <w:rsid w:val="42AB11DB"/>
    <w:rsid w:val="42F7120E"/>
    <w:rsid w:val="4303144B"/>
    <w:rsid w:val="434B5872"/>
    <w:rsid w:val="43782F65"/>
    <w:rsid w:val="43A7668E"/>
    <w:rsid w:val="43DE062F"/>
    <w:rsid w:val="43FA6097"/>
    <w:rsid w:val="443F6683"/>
    <w:rsid w:val="4459233B"/>
    <w:rsid w:val="446E672D"/>
    <w:rsid w:val="44727C49"/>
    <w:rsid w:val="44C73595"/>
    <w:rsid w:val="44FE03CC"/>
    <w:rsid w:val="450833B2"/>
    <w:rsid w:val="45094335"/>
    <w:rsid w:val="453F2D02"/>
    <w:rsid w:val="45510DED"/>
    <w:rsid w:val="4554340B"/>
    <w:rsid w:val="457A4E8B"/>
    <w:rsid w:val="457B72FF"/>
    <w:rsid w:val="458A0FC3"/>
    <w:rsid w:val="45995715"/>
    <w:rsid w:val="45A820FF"/>
    <w:rsid w:val="45B25DA7"/>
    <w:rsid w:val="45D55897"/>
    <w:rsid w:val="463424E7"/>
    <w:rsid w:val="465F3636"/>
    <w:rsid w:val="466B2442"/>
    <w:rsid w:val="46BA3F29"/>
    <w:rsid w:val="46C353B7"/>
    <w:rsid w:val="46EC1545"/>
    <w:rsid w:val="471823DF"/>
    <w:rsid w:val="472459DA"/>
    <w:rsid w:val="473F1CEF"/>
    <w:rsid w:val="475B5010"/>
    <w:rsid w:val="47835392"/>
    <w:rsid w:val="47837DBE"/>
    <w:rsid w:val="47C3064B"/>
    <w:rsid w:val="48021C20"/>
    <w:rsid w:val="4805308F"/>
    <w:rsid w:val="482D3042"/>
    <w:rsid w:val="484864B1"/>
    <w:rsid w:val="48543764"/>
    <w:rsid w:val="485D666C"/>
    <w:rsid w:val="486667F1"/>
    <w:rsid w:val="487F6B7C"/>
    <w:rsid w:val="48A31D5C"/>
    <w:rsid w:val="48D67E73"/>
    <w:rsid w:val="48FC532A"/>
    <w:rsid w:val="48FF448C"/>
    <w:rsid w:val="494D48CF"/>
    <w:rsid w:val="4974040C"/>
    <w:rsid w:val="49823FAB"/>
    <w:rsid w:val="49823FFA"/>
    <w:rsid w:val="499D11D6"/>
    <w:rsid w:val="49EC2F17"/>
    <w:rsid w:val="4A1978EC"/>
    <w:rsid w:val="4A225A8E"/>
    <w:rsid w:val="4AAF5345"/>
    <w:rsid w:val="4ABE7B78"/>
    <w:rsid w:val="4AD64D94"/>
    <w:rsid w:val="4B5F2D41"/>
    <w:rsid w:val="4BAB34B4"/>
    <w:rsid w:val="4BB949C8"/>
    <w:rsid w:val="4BBF57D7"/>
    <w:rsid w:val="4BC108D2"/>
    <w:rsid w:val="4BCF3F35"/>
    <w:rsid w:val="4BD42F98"/>
    <w:rsid w:val="4BED02AE"/>
    <w:rsid w:val="4C08500C"/>
    <w:rsid w:val="4C420F94"/>
    <w:rsid w:val="4C730F62"/>
    <w:rsid w:val="4C9A4889"/>
    <w:rsid w:val="4CB3173E"/>
    <w:rsid w:val="4CB412FA"/>
    <w:rsid w:val="4CCC55B4"/>
    <w:rsid w:val="4CF720F9"/>
    <w:rsid w:val="4D2E5BAF"/>
    <w:rsid w:val="4D3B6C05"/>
    <w:rsid w:val="4D414AF4"/>
    <w:rsid w:val="4D4E7063"/>
    <w:rsid w:val="4D514A4A"/>
    <w:rsid w:val="4D58469D"/>
    <w:rsid w:val="4D7E6A70"/>
    <w:rsid w:val="4D9E38E4"/>
    <w:rsid w:val="4DBE42F4"/>
    <w:rsid w:val="4DC572DA"/>
    <w:rsid w:val="4DF7711A"/>
    <w:rsid w:val="4E960E86"/>
    <w:rsid w:val="4E9D6D20"/>
    <w:rsid w:val="4EAE318F"/>
    <w:rsid w:val="4F3E5040"/>
    <w:rsid w:val="4F4113EA"/>
    <w:rsid w:val="4F4F27E7"/>
    <w:rsid w:val="4F5252CE"/>
    <w:rsid w:val="4F6B41B9"/>
    <w:rsid w:val="4F9167C1"/>
    <w:rsid w:val="4F972FDD"/>
    <w:rsid w:val="4FBE08D6"/>
    <w:rsid w:val="50282188"/>
    <w:rsid w:val="507E24E3"/>
    <w:rsid w:val="507F2ED4"/>
    <w:rsid w:val="50824921"/>
    <w:rsid w:val="50D70792"/>
    <w:rsid w:val="513239F1"/>
    <w:rsid w:val="513403C7"/>
    <w:rsid w:val="515A66C1"/>
    <w:rsid w:val="51903C66"/>
    <w:rsid w:val="519B0C71"/>
    <w:rsid w:val="51BD61EA"/>
    <w:rsid w:val="51C219DE"/>
    <w:rsid w:val="51EC565C"/>
    <w:rsid w:val="51F837D1"/>
    <w:rsid w:val="522E7541"/>
    <w:rsid w:val="52384DFA"/>
    <w:rsid w:val="5254088E"/>
    <w:rsid w:val="52635075"/>
    <w:rsid w:val="52765431"/>
    <w:rsid w:val="52842BA7"/>
    <w:rsid w:val="529E0335"/>
    <w:rsid w:val="529F7FD2"/>
    <w:rsid w:val="52BA036D"/>
    <w:rsid w:val="53066AF8"/>
    <w:rsid w:val="531A51C8"/>
    <w:rsid w:val="531F25F1"/>
    <w:rsid w:val="533D6BA0"/>
    <w:rsid w:val="53495F88"/>
    <w:rsid w:val="537A50EC"/>
    <w:rsid w:val="538611B4"/>
    <w:rsid w:val="53AA371E"/>
    <w:rsid w:val="54110F76"/>
    <w:rsid w:val="5413094A"/>
    <w:rsid w:val="545D2726"/>
    <w:rsid w:val="54960439"/>
    <w:rsid w:val="54EB65FF"/>
    <w:rsid w:val="550456AC"/>
    <w:rsid w:val="55266B62"/>
    <w:rsid w:val="553901D3"/>
    <w:rsid w:val="55401762"/>
    <w:rsid w:val="5549241F"/>
    <w:rsid w:val="55DA76B1"/>
    <w:rsid w:val="55DE2B08"/>
    <w:rsid w:val="55EA1914"/>
    <w:rsid w:val="562C1ADF"/>
    <w:rsid w:val="566470A3"/>
    <w:rsid w:val="56660071"/>
    <w:rsid w:val="56735F78"/>
    <w:rsid w:val="56850D7E"/>
    <w:rsid w:val="56997708"/>
    <w:rsid w:val="56C95D81"/>
    <w:rsid w:val="57010372"/>
    <w:rsid w:val="573A069C"/>
    <w:rsid w:val="573A5D9A"/>
    <w:rsid w:val="57720861"/>
    <w:rsid w:val="57BF5FD4"/>
    <w:rsid w:val="57D93D9D"/>
    <w:rsid w:val="5818698A"/>
    <w:rsid w:val="58313476"/>
    <w:rsid w:val="5832330D"/>
    <w:rsid w:val="58445A24"/>
    <w:rsid w:val="585306D1"/>
    <w:rsid w:val="586619E4"/>
    <w:rsid w:val="58A13A37"/>
    <w:rsid w:val="58B74397"/>
    <w:rsid w:val="58D65417"/>
    <w:rsid w:val="58E335D8"/>
    <w:rsid w:val="58FD0EF8"/>
    <w:rsid w:val="59105AB6"/>
    <w:rsid w:val="592D2947"/>
    <w:rsid w:val="59360ECA"/>
    <w:rsid w:val="594230FD"/>
    <w:rsid w:val="59475627"/>
    <w:rsid w:val="595D52E9"/>
    <w:rsid w:val="5960138C"/>
    <w:rsid w:val="59B32542"/>
    <w:rsid w:val="59BE4F73"/>
    <w:rsid w:val="59FD0D47"/>
    <w:rsid w:val="5A20384C"/>
    <w:rsid w:val="5A214C51"/>
    <w:rsid w:val="5A74532F"/>
    <w:rsid w:val="5A9C364E"/>
    <w:rsid w:val="5AAD190B"/>
    <w:rsid w:val="5ADF699D"/>
    <w:rsid w:val="5AFC2BC4"/>
    <w:rsid w:val="5AFE49EA"/>
    <w:rsid w:val="5BCB479D"/>
    <w:rsid w:val="5C002146"/>
    <w:rsid w:val="5C2F0802"/>
    <w:rsid w:val="5C35168E"/>
    <w:rsid w:val="5C6066DB"/>
    <w:rsid w:val="5C725764"/>
    <w:rsid w:val="5C992D5B"/>
    <w:rsid w:val="5CCA1DF2"/>
    <w:rsid w:val="5CDA7BA2"/>
    <w:rsid w:val="5D04279B"/>
    <w:rsid w:val="5D281E1E"/>
    <w:rsid w:val="5D29706D"/>
    <w:rsid w:val="5D4B7117"/>
    <w:rsid w:val="5D4D4958"/>
    <w:rsid w:val="5D6509CD"/>
    <w:rsid w:val="5D7D73EC"/>
    <w:rsid w:val="5D84523E"/>
    <w:rsid w:val="5DA159BC"/>
    <w:rsid w:val="5DA4231C"/>
    <w:rsid w:val="5E095DC7"/>
    <w:rsid w:val="5E0A57CF"/>
    <w:rsid w:val="5E5066D2"/>
    <w:rsid w:val="5E652733"/>
    <w:rsid w:val="5E700557"/>
    <w:rsid w:val="5E9561CE"/>
    <w:rsid w:val="5EBA4024"/>
    <w:rsid w:val="5F155949"/>
    <w:rsid w:val="5F1F0B39"/>
    <w:rsid w:val="5F2749CC"/>
    <w:rsid w:val="5F496E73"/>
    <w:rsid w:val="5F4F6C69"/>
    <w:rsid w:val="5F755032"/>
    <w:rsid w:val="5FAF3513"/>
    <w:rsid w:val="5FBB17C5"/>
    <w:rsid w:val="5FC06413"/>
    <w:rsid w:val="5FFC7FD7"/>
    <w:rsid w:val="60026693"/>
    <w:rsid w:val="60066ED6"/>
    <w:rsid w:val="600A2A11"/>
    <w:rsid w:val="60236720"/>
    <w:rsid w:val="60361BA1"/>
    <w:rsid w:val="60392F9F"/>
    <w:rsid w:val="6053701F"/>
    <w:rsid w:val="607721E0"/>
    <w:rsid w:val="609369BC"/>
    <w:rsid w:val="60B24B45"/>
    <w:rsid w:val="61823808"/>
    <w:rsid w:val="61A01862"/>
    <w:rsid w:val="61AA2E06"/>
    <w:rsid w:val="61D06722"/>
    <w:rsid w:val="61F51BF9"/>
    <w:rsid w:val="61F61F9F"/>
    <w:rsid w:val="62206126"/>
    <w:rsid w:val="62420C41"/>
    <w:rsid w:val="6288488F"/>
    <w:rsid w:val="62942D35"/>
    <w:rsid w:val="629652A7"/>
    <w:rsid w:val="62996265"/>
    <w:rsid w:val="62BF0B8F"/>
    <w:rsid w:val="62DD2A49"/>
    <w:rsid w:val="62FB51EC"/>
    <w:rsid w:val="63103885"/>
    <w:rsid w:val="632A336A"/>
    <w:rsid w:val="633648E4"/>
    <w:rsid w:val="63791642"/>
    <w:rsid w:val="63C612E6"/>
    <w:rsid w:val="63C83C7E"/>
    <w:rsid w:val="63DA05A3"/>
    <w:rsid w:val="64044497"/>
    <w:rsid w:val="640C71C4"/>
    <w:rsid w:val="642C4066"/>
    <w:rsid w:val="64715EC2"/>
    <w:rsid w:val="647C128A"/>
    <w:rsid w:val="64D06C9A"/>
    <w:rsid w:val="64D31B91"/>
    <w:rsid w:val="64E87DD1"/>
    <w:rsid w:val="64FB2933"/>
    <w:rsid w:val="651366B6"/>
    <w:rsid w:val="65163DC7"/>
    <w:rsid w:val="65464956"/>
    <w:rsid w:val="65474383"/>
    <w:rsid w:val="65CB3406"/>
    <w:rsid w:val="65FC7D8C"/>
    <w:rsid w:val="66031649"/>
    <w:rsid w:val="665C43A1"/>
    <w:rsid w:val="668271F0"/>
    <w:rsid w:val="671D206F"/>
    <w:rsid w:val="67240CC0"/>
    <w:rsid w:val="67511D76"/>
    <w:rsid w:val="677A5E8B"/>
    <w:rsid w:val="677B2019"/>
    <w:rsid w:val="67A32D96"/>
    <w:rsid w:val="67B2130F"/>
    <w:rsid w:val="67DB2545"/>
    <w:rsid w:val="6811645F"/>
    <w:rsid w:val="68125242"/>
    <w:rsid w:val="682F21DF"/>
    <w:rsid w:val="685755C8"/>
    <w:rsid w:val="68AD63C2"/>
    <w:rsid w:val="68CA39A2"/>
    <w:rsid w:val="68CA460C"/>
    <w:rsid w:val="68EE0ED1"/>
    <w:rsid w:val="692D6C1A"/>
    <w:rsid w:val="693F2E03"/>
    <w:rsid w:val="697D069D"/>
    <w:rsid w:val="69AF3352"/>
    <w:rsid w:val="69E3086A"/>
    <w:rsid w:val="69ED2E10"/>
    <w:rsid w:val="69EE0B66"/>
    <w:rsid w:val="6A847AA3"/>
    <w:rsid w:val="6AB5304C"/>
    <w:rsid w:val="6ABD0552"/>
    <w:rsid w:val="6AC6039C"/>
    <w:rsid w:val="6AC678AC"/>
    <w:rsid w:val="6B242C25"/>
    <w:rsid w:val="6B2761FB"/>
    <w:rsid w:val="6B5800FD"/>
    <w:rsid w:val="6B5E6647"/>
    <w:rsid w:val="6B615E94"/>
    <w:rsid w:val="6B9B0F99"/>
    <w:rsid w:val="6BB563CD"/>
    <w:rsid w:val="6BEA50F5"/>
    <w:rsid w:val="6C1C4150"/>
    <w:rsid w:val="6C3208DD"/>
    <w:rsid w:val="6C4D4C9F"/>
    <w:rsid w:val="6C752EDC"/>
    <w:rsid w:val="6CF502BD"/>
    <w:rsid w:val="6D02059D"/>
    <w:rsid w:val="6D151F82"/>
    <w:rsid w:val="6D2004F8"/>
    <w:rsid w:val="6D2B3AF6"/>
    <w:rsid w:val="6D791DD8"/>
    <w:rsid w:val="6D842F15"/>
    <w:rsid w:val="6D8954DA"/>
    <w:rsid w:val="6DED319C"/>
    <w:rsid w:val="6E3C1ED4"/>
    <w:rsid w:val="6E6138DD"/>
    <w:rsid w:val="6E972FE7"/>
    <w:rsid w:val="6F2E4AF3"/>
    <w:rsid w:val="6F3E67F6"/>
    <w:rsid w:val="6F433770"/>
    <w:rsid w:val="6F5E7A61"/>
    <w:rsid w:val="6F881896"/>
    <w:rsid w:val="6FC12408"/>
    <w:rsid w:val="6FFC7EB9"/>
    <w:rsid w:val="70275B8D"/>
    <w:rsid w:val="705D4B36"/>
    <w:rsid w:val="708C4462"/>
    <w:rsid w:val="70A33086"/>
    <w:rsid w:val="70A417CF"/>
    <w:rsid w:val="70B600CB"/>
    <w:rsid w:val="70CD3FD0"/>
    <w:rsid w:val="70D41EC8"/>
    <w:rsid w:val="70E44A92"/>
    <w:rsid w:val="70E70CB5"/>
    <w:rsid w:val="70E84DFB"/>
    <w:rsid w:val="713B4365"/>
    <w:rsid w:val="717C6E02"/>
    <w:rsid w:val="718A56B8"/>
    <w:rsid w:val="71D139CB"/>
    <w:rsid w:val="71F31E90"/>
    <w:rsid w:val="720748FB"/>
    <w:rsid w:val="72085C59"/>
    <w:rsid w:val="720D32F2"/>
    <w:rsid w:val="722C544E"/>
    <w:rsid w:val="72342822"/>
    <w:rsid w:val="725F01C5"/>
    <w:rsid w:val="72BC0C11"/>
    <w:rsid w:val="73012F25"/>
    <w:rsid w:val="730C0B48"/>
    <w:rsid w:val="733A7D9D"/>
    <w:rsid w:val="735F1EB2"/>
    <w:rsid w:val="73731A4E"/>
    <w:rsid w:val="738804B3"/>
    <w:rsid w:val="74001203"/>
    <w:rsid w:val="743146C8"/>
    <w:rsid w:val="74705363"/>
    <w:rsid w:val="748750D0"/>
    <w:rsid w:val="7488643B"/>
    <w:rsid w:val="748A20C5"/>
    <w:rsid w:val="74A90CDF"/>
    <w:rsid w:val="74B40902"/>
    <w:rsid w:val="74B72109"/>
    <w:rsid w:val="74E24409"/>
    <w:rsid w:val="750B50A6"/>
    <w:rsid w:val="75170EB8"/>
    <w:rsid w:val="751F1B36"/>
    <w:rsid w:val="7550156C"/>
    <w:rsid w:val="75501881"/>
    <w:rsid w:val="75532132"/>
    <w:rsid w:val="755E0F1D"/>
    <w:rsid w:val="756D11D6"/>
    <w:rsid w:val="757A295D"/>
    <w:rsid w:val="75995B1A"/>
    <w:rsid w:val="759A3FE2"/>
    <w:rsid w:val="75B84A72"/>
    <w:rsid w:val="75D307FB"/>
    <w:rsid w:val="75DA6598"/>
    <w:rsid w:val="75F35B89"/>
    <w:rsid w:val="7629554D"/>
    <w:rsid w:val="76494ACA"/>
    <w:rsid w:val="76C3221A"/>
    <w:rsid w:val="76CD0FE9"/>
    <w:rsid w:val="76CF026F"/>
    <w:rsid w:val="76EB2A6C"/>
    <w:rsid w:val="770E5AE1"/>
    <w:rsid w:val="773A3F0F"/>
    <w:rsid w:val="776710D1"/>
    <w:rsid w:val="77A427A8"/>
    <w:rsid w:val="7807253F"/>
    <w:rsid w:val="780E5898"/>
    <w:rsid w:val="781C15EE"/>
    <w:rsid w:val="781C4720"/>
    <w:rsid w:val="781E2EDF"/>
    <w:rsid w:val="782C30D0"/>
    <w:rsid w:val="78335C43"/>
    <w:rsid w:val="78807789"/>
    <w:rsid w:val="788E2ADA"/>
    <w:rsid w:val="789E5A82"/>
    <w:rsid w:val="78AD73FD"/>
    <w:rsid w:val="78D47884"/>
    <w:rsid w:val="78D86F5F"/>
    <w:rsid w:val="78EB7BA9"/>
    <w:rsid w:val="78F345AF"/>
    <w:rsid w:val="78F87506"/>
    <w:rsid w:val="79004B71"/>
    <w:rsid w:val="79512E09"/>
    <w:rsid w:val="796B0CC3"/>
    <w:rsid w:val="79F870B7"/>
    <w:rsid w:val="7A031859"/>
    <w:rsid w:val="7A0C6D9A"/>
    <w:rsid w:val="7A194B9B"/>
    <w:rsid w:val="7A5B0E30"/>
    <w:rsid w:val="7AC1034C"/>
    <w:rsid w:val="7AC237AF"/>
    <w:rsid w:val="7AEF6BF7"/>
    <w:rsid w:val="7B016569"/>
    <w:rsid w:val="7B267376"/>
    <w:rsid w:val="7B3F210C"/>
    <w:rsid w:val="7B551FE8"/>
    <w:rsid w:val="7B946CAC"/>
    <w:rsid w:val="7BD2022F"/>
    <w:rsid w:val="7BFA19E3"/>
    <w:rsid w:val="7BFD25C2"/>
    <w:rsid w:val="7C102123"/>
    <w:rsid w:val="7C155F70"/>
    <w:rsid w:val="7C4F6097"/>
    <w:rsid w:val="7C602A66"/>
    <w:rsid w:val="7CA02F04"/>
    <w:rsid w:val="7CB347DD"/>
    <w:rsid w:val="7CE83C95"/>
    <w:rsid w:val="7CEE3139"/>
    <w:rsid w:val="7CF07B26"/>
    <w:rsid w:val="7D190050"/>
    <w:rsid w:val="7D29585F"/>
    <w:rsid w:val="7D3B5F56"/>
    <w:rsid w:val="7D5E522E"/>
    <w:rsid w:val="7D734D61"/>
    <w:rsid w:val="7D904541"/>
    <w:rsid w:val="7DD0320C"/>
    <w:rsid w:val="7E0354DB"/>
    <w:rsid w:val="7E182A58"/>
    <w:rsid w:val="7E1B62D3"/>
    <w:rsid w:val="7E6F04DD"/>
    <w:rsid w:val="7EA22012"/>
    <w:rsid w:val="7EAC1C03"/>
    <w:rsid w:val="7F0C61FF"/>
    <w:rsid w:val="7F132591"/>
    <w:rsid w:val="7F1D7AFF"/>
    <w:rsid w:val="7F2618A5"/>
    <w:rsid w:val="7F2F27DD"/>
    <w:rsid w:val="7F3D1DBC"/>
    <w:rsid w:val="7F594018"/>
    <w:rsid w:val="7F5E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2021-06-27T09:26:00Z</dcterms:created>
  <dc:creator>阎鹏</dc:creator>
  <cp:lastModifiedBy>王马川</cp:lastModifiedBy>
  <cp:lastPrinted>2022-06-20T07:53:00Z</cp:lastPrinted>
  <dcterms:modified xsi:type="dcterms:W3CDTF">2022-07-01T07:37:49Z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9CAE38B14AD349CFBC2CAC98A42C5530</vt:lpwstr>
  </property>
</Properties>
</file>